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2025年度运维服务能力指标完成情况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w:type="default" r:id="rId4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TableNormal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294"/>
        <w:gridCol w:w="1554"/>
        <w:gridCol w:w="774"/>
        <w:gridCol w:w="774"/>
        <w:gridCol w:w="103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blPrEx>
          <w:tblW w:w="0" w:type="auto"/>
          <w:tblInd w:w="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77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103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0" w:type="auto"/>
            <w:gridSpan w:val="12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2025年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77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03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6月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6条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13条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color w:val="FF0000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color w:val="auto"/>
                <w:sz w:val="13"/>
                <w:szCs w:val="13"/>
                <w:shd w:val="clear" w:color="auto" w:fill="auto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bookmarkStart w:id="1" w:name="_GoBack"/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  <w:bookmarkEnd w:id="1"/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96.2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55" w:type="dxa"/>
            <w:gridSpan w:val="18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针对服务数据考核指标不满足的情况（2025年第二季度数据完整性为95%，未达标），综合部积极组织人员进行培训，由运维部经理宣贯《服务数据管理制度》，由产品质量部进行跟踪。经分析，原因为部分历史数据存在字段缺失，运维部已组织数据清洗，完善数据录入规范。2025年第三、四季度数据完整性已提升至100%和100%，问题得到解决。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631</Words>
  <Characters>1008</Characters>
  <Application>Microsoft Office Word</Application>
  <DocSecurity>0</DocSecurity>
  <Lines>0</Lines>
  <Paragraphs>0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2026-04-09T17:31:02Z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