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487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3D0557DF">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2025年度运维服务能力管理报告</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3ED8C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66580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69F1B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HFSJ-ITSS-0306</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570A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903A2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7866D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6C3FD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C116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E8F40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AB5053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2025.12.31</w:t>
            </w:r>
          </w:p>
        </w:tc>
      </w:tr>
      <w:tr w14:paraId="2E939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5F00A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54B00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74430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85F586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r w14:paraId="48381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09FE8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624EB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ADD7DC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571981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r w14:paraId="040E0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3FBA3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7D7312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97C00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119DE7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2025.12.31</w:t>
            </w:r>
          </w:p>
        </w:tc>
      </w:tr>
    </w:tbl>
    <w:p w14:paraId="265680A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E79D8F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65C1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E830F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FBF9C2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99D19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ED75C9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EB0A8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787CF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6F7923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87F0B2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2025.12.31</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D2C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143F6D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C0A414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3DB9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F3487E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7B84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7C353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EFB0F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8A7F1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6CBF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FF187B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586B5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19C2D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6CC8C1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DB582D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8A7A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E15750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50EC3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5509F0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AAD3F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5BFD7D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6A5289F4">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D41BA7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5F1D606">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_Toc20662 </w:instrText>
          </w:r>
          <w:r>
            <w:fldChar w:fldCharType="separate"/>
          </w:r>
          <w:r>
            <w:rPr>
              <w:rFonts w:hint="default"/>
              <w:lang w:val="en-US" w:eastAsia="zh-CN"/>
            </w:rPr>
            <w:t xml:space="preserve">1. </w:t>
          </w:r>
          <w:r>
            <w:rPr>
              <w:rFonts w:hint="eastAsia"/>
              <w:lang w:val="en-US" w:eastAsia="zh-CN"/>
            </w:rPr>
            <w:t>报告概况</w:t>
          </w:r>
          <w:r>
            <w:tab/>
          </w:r>
          <w:r>
            <w:fldChar w:fldCharType="begin"/>
          </w:r>
          <w:r>
            <w:instrText xml:space="preserve"> PAGEREF _Toc20662 \h </w:instrText>
          </w:r>
          <w:r>
            <w:fldChar w:fldCharType="separate"/>
          </w:r>
          <w:r>
            <w:t>5</w:t>
          </w:r>
          <w:r>
            <w:fldChar w:fldCharType="end"/>
          </w:r>
          <w:r>
            <w:fldChar w:fldCharType="end"/>
          </w:r>
        </w:p>
        <w:p w14:paraId="5CB4D43F">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_Toc5248 </w:instrText>
          </w:r>
          <w:r>
            <w:fldChar w:fldCharType="separate"/>
          </w:r>
          <w:r>
            <w:rPr>
              <w:rFonts w:hint="default"/>
              <w:lang w:val="en-US" w:eastAsia="zh-CN"/>
            </w:rPr>
            <w:t xml:space="preserve">1.1. </w:t>
          </w:r>
          <w:r>
            <w:rPr>
              <w:rFonts w:hint="eastAsia"/>
              <w:lang w:val="en-US" w:eastAsia="zh-CN"/>
            </w:rPr>
            <w:t>报告基本信息</w:t>
          </w:r>
          <w:r>
            <w:tab/>
          </w:r>
          <w:r>
            <w:fldChar w:fldCharType="begin"/>
          </w:r>
          <w:r>
            <w:instrText xml:space="preserve"> PAGEREF _Toc5248 \h </w:instrText>
          </w:r>
          <w:r>
            <w:fldChar w:fldCharType="separate"/>
          </w:r>
          <w:r>
            <w:t>5</w:t>
          </w:r>
          <w:r>
            <w:fldChar w:fldCharType="end"/>
          </w:r>
          <w:r>
            <w:fldChar w:fldCharType="end"/>
          </w:r>
        </w:p>
        <w:p w14:paraId="2C137A48">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_Toc2406 </w:instrText>
          </w:r>
          <w:r>
            <w:fldChar w:fldCharType="separate"/>
          </w:r>
          <w:r>
            <w:rPr>
              <w:rFonts w:hint="default"/>
              <w:lang w:val="en-US" w:eastAsia="zh-CN"/>
            </w:rPr>
            <w:t xml:space="preserve">1.2. </w:t>
          </w:r>
          <w:r>
            <w:rPr>
              <w:rFonts w:hint="eastAsia"/>
              <w:lang w:val="en-US" w:eastAsia="zh-CN"/>
            </w:rPr>
            <w:t>报告目的</w:t>
          </w:r>
          <w:r>
            <w:tab/>
          </w:r>
          <w:r>
            <w:fldChar w:fldCharType="begin"/>
          </w:r>
          <w:r>
            <w:instrText xml:space="preserve"> PAGEREF _Toc2406 \h </w:instrText>
          </w:r>
          <w:r>
            <w:fldChar w:fldCharType="separate"/>
          </w:r>
          <w:r>
            <w:t>5</w:t>
          </w:r>
          <w:r>
            <w:fldChar w:fldCharType="end"/>
          </w:r>
          <w:r>
            <w:fldChar w:fldCharType="end"/>
          </w:r>
        </w:p>
        <w:p w14:paraId="21C9FDE2">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_Toc25877 </w:instrText>
          </w:r>
          <w:r>
            <w:fldChar w:fldCharType="separate"/>
          </w:r>
          <w:r>
            <w:rPr>
              <w:rFonts w:hint="default"/>
              <w:lang w:val="en-US" w:eastAsia="zh-CN"/>
            </w:rPr>
            <w:t xml:space="preserve">2. </w:t>
          </w:r>
          <w:r>
            <w:rPr>
              <w:rFonts w:hint="eastAsia"/>
              <w:lang w:val="en-US" w:eastAsia="zh-CN"/>
            </w:rPr>
            <w:t>人员管理报告</w:t>
          </w:r>
          <w:r>
            <w:tab/>
          </w:r>
          <w:r>
            <w:fldChar w:fldCharType="begin"/>
          </w:r>
          <w:r>
            <w:instrText xml:space="preserve"> PAGEREF _Toc25877 \h </w:instrText>
          </w:r>
          <w:r>
            <w:fldChar w:fldCharType="separate"/>
          </w:r>
          <w:r>
            <w:t>5</w:t>
          </w:r>
          <w:r>
            <w:fldChar w:fldCharType="end"/>
          </w:r>
          <w:r>
            <w:fldChar w:fldCharType="end"/>
          </w:r>
        </w:p>
        <w:p w14:paraId="0269E784">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_Toc29014 </w:instrText>
          </w:r>
          <w:r>
            <w:fldChar w:fldCharType="separate"/>
          </w:r>
          <w:r>
            <w:rPr>
              <w:rFonts w:hint="default"/>
            </w:rPr>
            <w:t xml:space="preserve">2.1. </w:t>
          </w:r>
          <w:r>
            <w:t>人员招聘计划执行情况</w:t>
          </w:r>
          <w:r>
            <w:tab/>
          </w:r>
          <w:r>
            <w:fldChar w:fldCharType="begin"/>
          </w:r>
          <w:r>
            <w:instrText xml:space="preserve"> PAGEREF _Toc29014 \h </w:instrText>
          </w:r>
          <w:r>
            <w:fldChar w:fldCharType="separate"/>
          </w:r>
          <w:r>
            <w:t>5</w:t>
          </w:r>
          <w:r>
            <w:fldChar w:fldCharType="end"/>
          </w:r>
          <w:r>
            <w:fldChar w:fldCharType="end"/>
          </w:r>
        </w:p>
        <w:p w14:paraId="3745E2CE">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_Toc17242 </w:instrText>
          </w:r>
          <w:r>
            <w:fldChar w:fldCharType="separate"/>
          </w:r>
          <w:r>
            <w:rPr>
              <w:rFonts w:hint="default"/>
            </w:rPr>
            <w:t xml:space="preserve">2.1.1. </w:t>
          </w:r>
          <w:r>
            <w:t>招聘完成情况</w:t>
          </w:r>
          <w:r>
            <w:tab/>
          </w:r>
          <w:r>
            <w:fldChar w:fldCharType="begin"/>
          </w:r>
          <w:r>
            <w:instrText xml:space="preserve"> PAGEREF _Toc17242 \h </w:instrText>
          </w:r>
          <w:r>
            <w:fldChar w:fldCharType="separate"/>
          </w:r>
          <w:r>
            <w:t>5</w:t>
          </w:r>
          <w:r>
            <w:fldChar w:fldCharType="end"/>
          </w:r>
          <w:r>
            <w:fldChar w:fldCharType="end"/>
          </w:r>
        </w:p>
        <w:p w14:paraId="701C037F">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_Toc10982 </w:instrText>
          </w:r>
          <w:r>
            <w:fldChar w:fldCharType="separate"/>
          </w:r>
          <w:r>
            <w:rPr>
              <w:rFonts w:hint="default"/>
            </w:rPr>
            <w:t xml:space="preserve">2.1.2. </w:t>
          </w:r>
          <w:r>
            <w:t>招聘工作成效</w:t>
          </w:r>
          <w:r>
            <w:tab/>
          </w:r>
          <w:r>
            <w:fldChar w:fldCharType="begin"/>
          </w:r>
          <w:r>
            <w:instrText xml:space="preserve"> PAGEREF _Toc10982 \h </w:instrText>
          </w:r>
          <w:r>
            <w:fldChar w:fldCharType="separate"/>
          </w:r>
          <w:r>
            <w:t>5</w:t>
          </w:r>
          <w:r>
            <w:fldChar w:fldCharType="end"/>
          </w:r>
          <w:r>
            <w:fldChar w:fldCharType="end"/>
          </w:r>
        </w:p>
        <w:p w14:paraId="16DACDB2">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_Toc21927 </w:instrText>
          </w:r>
          <w:r>
            <w:fldChar w:fldCharType="separate"/>
          </w:r>
          <w:r>
            <w:rPr>
              <w:rFonts w:hint="default"/>
            </w:rPr>
            <w:t xml:space="preserve">2.1.3. </w:t>
          </w:r>
          <w:r>
            <w:t>存在问题与改进措施</w:t>
          </w:r>
          <w:r>
            <w:tab/>
          </w:r>
          <w:r>
            <w:fldChar w:fldCharType="begin"/>
          </w:r>
          <w:r>
            <w:instrText xml:space="preserve"> PAGEREF _Toc21927 \h </w:instrText>
          </w:r>
          <w:r>
            <w:fldChar w:fldCharType="separate"/>
          </w:r>
          <w:r>
            <w:t>6</w:t>
          </w:r>
          <w:r>
            <w:fldChar w:fldCharType="end"/>
          </w:r>
          <w:r>
            <w:fldChar w:fldCharType="end"/>
          </w:r>
        </w:p>
        <w:p w14:paraId="7D69669F">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_Toc678 </w:instrText>
          </w:r>
          <w:r>
            <w:fldChar w:fldCharType="separate"/>
          </w:r>
          <w:r>
            <w:rPr>
              <w:rFonts w:hint="default"/>
            </w:rPr>
            <w:t xml:space="preserve">2.2. </w:t>
          </w:r>
          <w:r>
            <w:t>人员储备计划执行情况</w:t>
          </w:r>
          <w:r>
            <w:tab/>
          </w:r>
          <w:r>
            <w:fldChar w:fldCharType="begin"/>
          </w:r>
          <w:r>
            <w:instrText xml:space="preserve"> PAGEREF _Toc678 \h </w:instrText>
          </w:r>
          <w:r>
            <w:fldChar w:fldCharType="separate"/>
          </w:r>
          <w:r>
            <w:t>6</w:t>
          </w:r>
          <w:r>
            <w:fldChar w:fldCharType="end"/>
          </w:r>
          <w:r>
            <w:fldChar w:fldCharType="end"/>
          </w:r>
        </w:p>
        <w:p w14:paraId="4CF4682F">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_Toc16283 </w:instrText>
          </w:r>
          <w:r>
            <w:fldChar w:fldCharType="separate"/>
          </w:r>
          <w:r>
            <w:rPr>
              <w:rFonts w:hint="default"/>
            </w:rPr>
            <w:t xml:space="preserve">2.2.1. </w:t>
          </w:r>
          <w:r>
            <w:t>储备完成情况</w:t>
          </w:r>
          <w:r>
            <w:tab/>
          </w:r>
          <w:r>
            <w:fldChar w:fldCharType="begin"/>
          </w:r>
          <w:r>
            <w:instrText xml:space="preserve"> PAGEREF _Toc16283 \h </w:instrText>
          </w:r>
          <w:r>
            <w:fldChar w:fldCharType="separate"/>
          </w:r>
          <w:r>
            <w:t>6</w:t>
          </w:r>
          <w:r>
            <w:fldChar w:fldCharType="end"/>
          </w:r>
          <w:r>
            <w:fldChar w:fldCharType="end"/>
          </w:r>
        </w:p>
        <w:p w14:paraId="7F2C02F1">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_Toc6611 </w:instrText>
          </w:r>
          <w:r>
            <w:fldChar w:fldCharType="separate"/>
          </w:r>
          <w:r>
            <w:rPr>
              <w:rFonts w:hint="default"/>
            </w:rPr>
            <w:t xml:space="preserve">2.2.2. </w:t>
          </w:r>
          <w:r>
            <w:t>储备培养情况</w:t>
          </w:r>
          <w:r>
            <w:tab/>
          </w:r>
          <w:r>
            <w:fldChar w:fldCharType="begin"/>
          </w:r>
          <w:r>
            <w:instrText xml:space="preserve"> PAGEREF _Toc6611 \h </w:instrText>
          </w:r>
          <w:r>
            <w:fldChar w:fldCharType="separate"/>
          </w:r>
          <w:r>
            <w:t>6</w:t>
          </w:r>
          <w:r>
            <w:fldChar w:fldCharType="end"/>
          </w:r>
          <w:r>
            <w:fldChar w:fldCharType="end"/>
          </w:r>
        </w:p>
        <w:p w14:paraId="6DC70118">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 </w:instrText>
          </w:r>
          <w:r>
            <w:fldChar w:fldCharType="separate"/>
          </w:r>
          <w:r>
            <w:rPr>
              <w:rFonts w:hint="default"/>
            </w:rPr>
            <w:t xml:space="preserve">2.2.3. </w:t>
          </w:r>
          <w:r>
            <w:t>存在问题与改进措施</w:t>
          </w:r>
          <w:r>
            <w:tab/>
          </w:r>
          <w:r>
            <w:fldChar w:fldCharType="begin"/>
          </w:r>
          <w:r>
            <w:instrText xml:space="preserve"> PAGEREF _Toc273 \h </w:instrText>
          </w:r>
          <w:r>
            <w:fldChar w:fldCharType="separate"/>
          </w:r>
          <w:r>
            <w:t>6</w:t>
          </w:r>
          <w:r>
            <w:fldChar w:fldCharType="end"/>
          </w:r>
          <w:r>
            <w:fldChar w:fldCharType="end"/>
          </w:r>
        </w:p>
        <w:p w14:paraId="6AB2C76C">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_Toc11796 </w:instrText>
          </w:r>
          <w:r>
            <w:fldChar w:fldCharType="separate"/>
          </w:r>
          <w:r>
            <w:rPr>
              <w:rFonts w:hint="default"/>
            </w:rPr>
            <w:t xml:space="preserve">2.3. </w:t>
          </w:r>
          <w:r>
            <w:t>人员培训计划执行情况</w:t>
          </w:r>
          <w:r>
            <w:tab/>
          </w:r>
          <w:r>
            <w:fldChar w:fldCharType="begin"/>
          </w:r>
          <w:r>
            <w:instrText xml:space="preserve"> PAGEREF _Toc11796 \h </w:instrText>
          </w:r>
          <w:r>
            <w:fldChar w:fldCharType="separate"/>
          </w:r>
          <w:r>
            <w:t>7</w:t>
          </w:r>
          <w:r>
            <w:fldChar w:fldCharType="end"/>
          </w:r>
          <w:r>
            <w:fldChar w:fldCharType="end"/>
          </w:r>
        </w:p>
        <w:p w14:paraId="63D63BBC">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_Toc29059 </w:instrText>
          </w:r>
          <w:r>
            <w:fldChar w:fldCharType="separate"/>
          </w:r>
          <w:r>
            <w:rPr>
              <w:rFonts w:hint="default"/>
            </w:rPr>
            <w:t xml:space="preserve">2.3.1. </w:t>
          </w:r>
          <w:r>
            <w:t>培训完成情况</w:t>
          </w:r>
          <w:r>
            <w:tab/>
          </w:r>
          <w:r>
            <w:fldChar w:fldCharType="begin"/>
          </w:r>
          <w:r>
            <w:instrText xml:space="preserve"> PAGEREF _Toc29059 \h </w:instrText>
          </w:r>
          <w:r>
            <w:fldChar w:fldCharType="separate"/>
          </w:r>
          <w:r>
            <w:t>7</w:t>
          </w:r>
          <w:r>
            <w:fldChar w:fldCharType="end"/>
          </w:r>
          <w:r>
            <w:fldChar w:fldCharType="end"/>
          </w:r>
        </w:p>
        <w:p w14:paraId="64914650">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_Toc12219 </w:instrText>
          </w:r>
          <w:r>
            <w:fldChar w:fldCharType="separate"/>
          </w:r>
          <w:r>
            <w:rPr>
              <w:rFonts w:hint="default"/>
            </w:rPr>
            <w:t xml:space="preserve">2.3.2. </w:t>
          </w:r>
          <w:r>
            <w:t>培训预算执行情况</w:t>
          </w:r>
          <w:r>
            <w:tab/>
          </w:r>
          <w:r>
            <w:fldChar w:fldCharType="begin"/>
          </w:r>
          <w:r>
            <w:instrText xml:space="preserve"> PAGEREF _Toc12219 \h </w:instrText>
          </w:r>
          <w:r>
            <w:fldChar w:fldCharType="separate"/>
          </w:r>
          <w:r>
            <w:t>7</w:t>
          </w:r>
          <w:r>
            <w:fldChar w:fldCharType="end"/>
          </w:r>
          <w:r>
            <w:fldChar w:fldCharType="end"/>
          </w:r>
        </w:p>
        <w:p w14:paraId="05177982">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_Toc25527 </w:instrText>
          </w:r>
          <w:r>
            <w:fldChar w:fldCharType="separate"/>
          </w:r>
          <w:r>
            <w:rPr>
              <w:rFonts w:hint="default"/>
            </w:rPr>
            <w:t xml:space="preserve">2.3.3. </w:t>
          </w:r>
          <w:r>
            <w:t>培训效果评估</w:t>
          </w:r>
          <w:r>
            <w:tab/>
          </w:r>
          <w:r>
            <w:fldChar w:fldCharType="begin"/>
          </w:r>
          <w:r>
            <w:instrText xml:space="preserve"> PAGEREF _Toc25527 \h </w:instrText>
          </w:r>
          <w:r>
            <w:fldChar w:fldCharType="separate"/>
          </w:r>
          <w:r>
            <w:t>8</w:t>
          </w:r>
          <w:r>
            <w:fldChar w:fldCharType="end"/>
          </w:r>
          <w:r>
            <w:fldChar w:fldCharType="end"/>
          </w:r>
        </w:p>
        <w:p w14:paraId="7507080B">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_Toc9034 </w:instrText>
          </w:r>
          <w:r>
            <w:fldChar w:fldCharType="separate"/>
          </w:r>
          <w:r>
            <w:rPr>
              <w:rFonts w:hint="default"/>
              <w:lang w:val="en-US" w:eastAsia="zh-CN"/>
            </w:rPr>
            <w:t xml:space="preserve">2.4. </w:t>
          </w:r>
          <w:r>
            <w:rPr>
              <w:rFonts w:hint="eastAsia"/>
              <w:lang w:val="en-US" w:eastAsia="zh-CN"/>
            </w:rPr>
            <w:t>关键岗位备份计划执行情况</w:t>
          </w:r>
          <w:r>
            <w:tab/>
          </w:r>
          <w:r>
            <w:fldChar w:fldCharType="begin"/>
          </w:r>
          <w:r>
            <w:instrText xml:space="preserve"> PAGEREF _Toc9034 \h </w:instrText>
          </w:r>
          <w:r>
            <w:fldChar w:fldCharType="separate"/>
          </w:r>
          <w:r>
            <w:t>8</w:t>
          </w:r>
          <w:r>
            <w:fldChar w:fldCharType="end"/>
          </w:r>
          <w:r>
            <w:fldChar w:fldCharType="end"/>
          </w:r>
        </w:p>
        <w:p w14:paraId="103305A3">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_Toc7086 </w:instrText>
          </w:r>
          <w:r>
            <w:fldChar w:fldCharType="separate"/>
          </w:r>
          <w:r>
            <w:rPr>
              <w:rFonts w:hint="default"/>
              <w:lang w:val="en-US" w:eastAsia="zh-CN"/>
            </w:rPr>
            <w:t xml:space="preserve">2.4.1. </w:t>
          </w:r>
          <w:r>
            <w:rPr>
              <w:rFonts w:hint="eastAsia"/>
              <w:lang w:val="en-US" w:eastAsia="zh-CN"/>
            </w:rPr>
            <w:t>备份完成情况</w:t>
          </w:r>
          <w:r>
            <w:tab/>
          </w:r>
          <w:r>
            <w:fldChar w:fldCharType="begin"/>
          </w:r>
          <w:r>
            <w:instrText xml:space="preserve"> PAGEREF _Toc7086 \h </w:instrText>
          </w:r>
          <w:r>
            <w:fldChar w:fldCharType="separate"/>
          </w:r>
          <w:r>
            <w:t>8</w:t>
          </w:r>
          <w:r>
            <w:fldChar w:fldCharType="end"/>
          </w:r>
          <w:r>
            <w:fldChar w:fldCharType="end"/>
          </w:r>
        </w:p>
        <w:p w14:paraId="02A819F9">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_Toc28702 </w:instrText>
          </w:r>
          <w:r>
            <w:fldChar w:fldCharType="separate"/>
          </w:r>
          <w:r>
            <w:rPr>
              <w:rFonts w:hint="default"/>
              <w:lang w:val="en-US" w:eastAsia="zh-CN"/>
            </w:rPr>
            <w:t xml:space="preserve">2.4.2. </w:t>
          </w:r>
          <w:r>
            <w:rPr>
              <w:rFonts w:hint="eastAsia"/>
              <w:lang w:val="en-US" w:eastAsia="zh-CN"/>
            </w:rPr>
            <w:t>备份人员能力达标情况</w:t>
          </w:r>
          <w:r>
            <w:tab/>
          </w:r>
          <w:r>
            <w:fldChar w:fldCharType="begin"/>
          </w:r>
          <w:r>
            <w:instrText xml:space="preserve"> PAGEREF _Toc28702 \h </w:instrText>
          </w:r>
          <w:r>
            <w:fldChar w:fldCharType="separate"/>
          </w:r>
          <w:r>
            <w:t>8</w:t>
          </w:r>
          <w:r>
            <w:fldChar w:fldCharType="end"/>
          </w:r>
          <w:r>
            <w:fldChar w:fldCharType="end"/>
          </w:r>
        </w:p>
        <w:p w14:paraId="2520482B">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_Toc20776 </w:instrText>
          </w:r>
          <w:r>
            <w:fldChar w:fldCharType="separate"/>
          </w:r>
          <w:r>
            <w:rPr>
              <w:rFonts w:hint="default"/>
              <w:lang w:val="en-US" w:eastAsia="zh-CN"/>
            </w:rPr>
            <w:t xml:space="preserve">2.5. </w:t>
          </w:r>
          <w:r>
            <w:rPr>
              <w:rFonts w:hint="eastAsia"/>
              <w:lang w:val="en-US" w:eastAsia="zh-CN"/>
            </w:rPr>
            <w:t>人员绩效考核执行情况</w:t>
          </w:r>
          <w:r>
            <w:tab/>
          </w:r>
          <w:r>
            <w:fldChar w:fldCharType="begin"/>
          </w:r>
          <w:r>
            <w:instrText xml:space="preserve"> PAGEREF _Toc20776 \h </w:instrText>
          </w:r>
          <w:r>
            <w:fldChar w:fldCharType="separate"/>
          </w:r>
          <w:r>
            <w:t>9</w:t>
          </w:r>
          <w:r>
            <w:fldChar w:fldCharType="end"/>
          </w:r>
          <w:r>
            <w:fldChar w:fldCharType="end"/>
          </w:r>
        </w:p>
        <w:p w14:paraId="598DBE22">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_Toc3432 </w:instrText>
          </w:r>
          <w:r>
            <w:fldChar w:fldCharType="separate"/>
          </w:r>
          <w:r>
            <w:rPr>
              <w:rFonts w:hint="default"/>
              <w:lang w:val="en-US" w:eastAsia="zh-CN"/>
            </w:rPr>
            <w:t xml:space="preserve">2.5.1. </w:t>
          </w:r>
          <w:r>
            <w:rPr>
              <w:rFonts w:hint="eastAsia"/>
              <w:lang w:val="en-US" w:eastAsia="zh-CN"/>
            </w:rPr>
            <w:t>考核完成情况</w:t>
          </w:r>
          <w:r>
            <w:tab/>
          </w:r>
          <w:r>
            <w:fldChar w:fldCharType="begin"/>
          </w:r>
          <w:r>
            <w:instrText xml:space="preserve"> PAGEREF _Toc3432 \h </w:instrText>
          </w:r>
          <w:r>
            <w:fldChar w:fldCharType="separate"/>
          </w:r>
          <w:r>
            <w:t>9</w:t>
          </w:r>
          <w:r>
            <w:fldChar w:fldCharType="end"/>
          </w:r>
          <w:r>
            <w:fldChar w:fldCharType="end"/>
          </w:r>
        </w:p>
        <w:p w14:paraId="7110B7EC">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_Toc2882 </w:instrText>
          </w:r>
          <w:r>
            <w:fldChar w:fldCharType="separate"/>
          </w:r>
          <w:r>
            <w:rPr>
              <w:rFonts w:hint="default"/>
              <w:lang w:val="en-US" w:eastAsia="zh-CN"/>
            </w:rPr>
            <w:t xml:space="preserve">2.5.2. </w:t>
          </w:r>
          <w:r>
            <w:rPr>
              <w:rFonts w:hint="eastAsia"/>
              <w:lang w:val="en-US" w:eastAsia="zh-CN"/>
            </w:rPr>
            <w:t>绩效考核及时完成率</w:t>
          </w:r>
          <w:r>
            <w:tab/>
          </w:r>
          <w:r>
            <w:fldChar w:fldCharType="begin"/>
          </w:r>
          <w:r>
            <w:instrText xml:space="preserve"> PAGEREF _Toc2882 \h </w:instrText>
          </w:r>
          <w:r>
            <w:fldChar w:fldCharType="separate"/>
          </w:r>
          <w:r>
            <w:t>9</w:t>
          </w:r>
          <w:r>
            <w:fldChar w:fldCharType="end"/>
          </w:r>
          <w:r>
            <w:fldChar w:fldCharType="end"/>
          </w:r>
        </w:p>
        <w:p w14:paraId="4E7A6FF8">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_Toc18387 </w:instrText>
          </w:r>
          <w:r>
            <w:fldChar w:fldCharType="separate"/>
          </w:r>
          <w:r>
            <w:rPr>
              <w:rFonts w:hint="default"/>
              <w:lang w:val="en-US" w:eastAsia="zh-CN"/>
            </w:rPr>
            <w:t xml:space="preserve">2.5.3. </w:t>
          </w:r>
          <w:r>
            <w:rPr>
              <w:rFonts w:hint="eastAsia"/>
              <w:lang w:val="en-US" w:eastAsia="zh-CN"/>
            </w:rPr>
            <w:t>考核结果分布</w:t>
          </w:r>
          <w:r>
            <w:tab/>
          </w:r>
          <w:r>
            <w:fldChar w:fldCharType="begin"/>
          </w:r>
          <w:r>
            <w:instrText xml:space="preserve"> PAGEREF _Toc18387 \h </w:instrText>
          </w:r>
          <w:r>
            <w:fldChar w:fldCharType="separate"/>
          </w:r>
          <w:r>
            <w:t>9</w:t>
          </w:r>
          <w:r>
            <w:fldChar w:fldCharType="end"/>
          </w:r>
          <w:r>
            <w:fldChar w:fldCharType="end"/>
          </w:r>
        </w:p>
        <w:p w14:paraId="01669887">
          <w:pPr>
            <w:pStyle w:val="19"/>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_Toc17907 </w:instrText>
          </w:r>
          <w:r>
            <w:fldChar w:fldCharType="separate"/>
          </w:r>
          <w:r>
            <w:rPr>
              <w:rFonts w:hint="default"/>
              <w:lang w:val="en-US" w:eastAsia="zh-CN"/>
            </w:rPr>
            <w:t xml:space="preserve">2.6. </w:t>
          </w:r>
          <w:r>
            <w:rPr>
              <w:rFonts w:hint="eastAsia"/>
              <w:lang w:val="en-US" w:eastAsia="zh-CN"/>
            </w:rPr>
            <w:t>人员技能评定执行情况</w:t>
          </w:r>
          <w:r>
            <w:tab/>
          </w:r>
          <w:r>
            <w:fldChar w:fldCharType="begin"/>
          </w:r>
          <w:r>
            <w:instrText xml:space="preserve"> PAGEREF _Toc17907 \h </w:instrText>
          </w:r>
          <w:r>
            <w:fldChar w:fldCharType="separate"/>
          </w:r>
          <w:r>
            <w:t>10</w:t>
          </w:r>
          <w:r>
            <w:fldChar w:fldCharType="end"/>
          </w:r>
          <w:r>
            <w:fldChar w:fldCharType="end"/>
          </w:r>
        </w:p>
        <w:p w14:paraId="4699C54F">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_Toc28048 </w:instrText>
          </w:r>
          <w:r>
            <w:fldChar w:fldCharType="separate"/>
          </w:r>
          <w:r>
            <w:rPr>
              <w:rFonts w:hint="default"/>
              <w:lang w:val="en-US" w:eastAsia="zh-CN"/>
            </w:rPr>
            <w:t xml:space="preserve">2.6.1. </w:t>
          </w:r>
          <w:r>
            <w:rPr>
              <w:rFonts w:hint="eastAsia"/>
              <w:lang w:val="en-US" w:eastAsia="zh-CN"/>
            </w:rPr>
            <w:t>评定完成情况</w:t>
          </w:r>
          <w:r>
            <w:tab/>
          </w:r>
          <w:r>
            <w:fldChar w:fldCharType="begin"/>
          </w:r>
          <w:r>
            <w:instrText xml:space="preserve"> PAGEREF _Toc28048 \h </w:instrText>
          </w:r>
          <w:r>
            <w:fldChar w:fldCharType="separate"/>
          </w:r>
          <w:r>
            <w:t>10</w:t>
          </w:r>
          <w:r>
            <w:fldChar w:fldCharType="end"/>
          </w:r>
          <w:r>
            <w:fldChar w:fldCharType="end"/>
          </w:r>
        </w:p>
        <w:p w14:paraId="7C9F04E9">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_Toc6253 </w:instrText>
          </w:r>
          <w:r>
            <w:fldChar w:fldCharType="separate"/>
          </w:r>
          <w:r>
            <w:rPr>
              <w:rFonts w:hint="default"/>
              <w:lang w:val="en-US" w:eastAsia="zh-CN"/>
            </w:rPr>
            <w:t xml:space="preserve">2.6.2. </w:t>
          </w:r>
          <w:r>
            <w:rPr>
              <w:rFonts w:hint="eastAsia"/>
              <w:lang w:val="en-US" w:eastAsia="zh-CN"/>
            </w:rPr>
            <w:t>技能评定结果</w:t>
          </w:r>
          <w:r>
            <w:tab/>
          </w:r>
          <w:r>
            <w:fldChar w:fldCharType="begin"/>
          </w:r>
          <w:r>
            <w:instrText xml:space="preserve"> PAGEREF _Toc6253 \h </w:instrText>
          </w:r>
          <w:r>
            <w:fldChar w:fldCharType="separate"/>
          </w:r>
          <w:r>
            <w:t>10</w:t>
          </w:r>
          <w:r>
            <w:fldChar w:fldCharType="end"/>
          </w:r>
          <w:r>
            <w:fldChar w:fldCharType="end"/>
          </w:r>
        </w:p>
        <w:p w14:paraId="5199F136">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_Toc23462 </w:instrText>
          </w:r>
          <w:r>
            <w:fldChar w:fldCharType="separate"/>
          </w:r>
          <w:r>
            <w:rPr>
              <w:rFonts w:hint="default"/>
              <w:lang w:val="en-US" w:eastAsia="zh-CN"/>
            </w:rPr>
            <w:t xml:space="preserve">2.6.3. </w:t>
          </w:r>
          <w:r>
            <w:rPr>
              <w:rFonts w:hint="eastAsia"/>
              <w:lang w:val="en-US" w:eastAsia="zh-CN"/>
            </w:rPr>
            <w:t>技能评定成效</w:t>
          </w:r>
          <w:r>
            <w:tab/>
          </w:r>
          <w:r>
            <w:fldChar w:fldCharType="begin"/>
          </w:r>
          <w:r>
            <w:instrText xml:space="preserve"> PAGEREF _Toc23462 \h </w:instrText>
          </w:r>
          <w:r>
            <w:fldChar w:fldCharType="separate"/>
          </w:r>
          <w:r>
            <w:t>10</w:t>
          </w:r>
          <w:r>
            <w:fldChar w:fldCharType="end"/>
          </w:r>
          <w:r>
            <w:fldChar w:fldCharType="end"/>
          </w:r>
        </w:p>
        <w:p w14:paraId="177EE2E5">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_Toc3004 </w:instrText>
          </w:r>
          <w:r>
            <w:fldChar w:fldCharType="separate"/>
          </w:r>
          <w:r>
            <w:rPr>
              <w:rFonts w:hint="default"/>
              <w:lang w:val="en-US" w:eastAsia="zh-CN"/>
            </w:rPr>
            <w:t xml:space="preserve">3. </w:t>
          </w:r>
          <w:r>
            <w:rPr>
              <w:rFonts w:hint="eastAsia"/>
              <w:lang w:val="en-US" w:eastAsia="zh-CN"/>
            </w:rPr>
            <w:t>总结与下年度展望</w:t>
          </w:r>
          <w:r>
            <w:tab/>
          </w:r>
          <w:r>
            <w:fldChar w:fldCharType="begin"/>
          </w:r>
          <w:r>
            <w:instrText xml:space="preserve"> PAGEREF _Toc3004 \h </w:instrText>
          </w:r>
          <w:r>
            <w:fldChar w:fldCharType="separate"/>
          </w:r>
          <w:r>
            <w:t>11</w:t>
          </w:r>
          <w:r>
            <w:fldChar w:fldCharType="end"/>
          </w:r>
          <w:r>
            <w:fldChar w:fldCharType="end"/>
          </w:r>
        </w:p>
        <w:p w14:paraId="22F29D5F">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_Toc32424 </w:instrText>
          </w:r>
          <w:r>
            <w:fldChar w:fldCharType="separate"/>
          </w:r>
          <w:r>
            <w:rPr>
              <w:rFonts w:hint="default"/>
              <w:lang w:val="en-US" w:eastAsia="zh-CN"/>
            </w:rPr>
            <w:t xml:space="preserve">3.1.1. </w:t>
          </w:r>
          <w:r>
            <w:rPr>
              <w:rFonts w:hint="eastAsia"/>
              <w:lang w:val="en-US" w:eastAsia="zh-CN"/>
            </w:rPr>
            <w:t>年度总体评价</w:t>
          </w:r>
          <w:r>
            <w:tab/>
          </w:r>
          <w:r>
            <w:fldChar w:fldCharType="begin"/>
          </w:r>
          <w:r>
            <w:instrText xml:space="preserve"> PAGEREF _Toc32424 \h </w:instrText>
          </w:r>
          <w:r>
            <w:fldChar w:fldCharType="separate"/>
          </w:r>
          <w:r>
            <w:t>11</w:t>
          </w:r>
          <w:r>
            <w:fldChar w:fldCharType="end"/>
          </w:r>
          <w:r>
            <w:fldChar w:fldCharType="end"/>
          </w:r>
        </w:p>
        <w:p w14:paraId="535AD110">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_Toc2831 </w:instrText>
          </w:r>
          <w:r>
            <w:fldChar w:fldCharType="separate"/>
          </w:r>
          <w:r>
            <w:rPr>
              <w:rFonts w:hint="default"/>
              <w:lang w:val="en-US" w:eastAsia="zh-CN"/>
            </w:rPr>
            <w:t xml:space="preserve">3.1.2. </w:t>
          </w:r>
          <w:r>
            <w:rPr>
              <w:rFonts w:hint="eastAsia"/>
              <w:lang w:val="en-US" w:eastAsia="zh-CN"/>
            </w:rPr>
            <w:t>年度工作亮点</w:t>
          </w:r>
          <w:r>
            <w:tab/>
          </w:r>
          <w:r>
            <w:fldChar w:fldCharType="begin"/>
          </w:r>
          <w:r>
            <w:instrText xml:space="preserve"> PAGEREF _Toc2831 \h </w:instrText>
          </w:r>
          <w:r>
            <w:fldChar w:fldCharType="separate"/>
          </w:r>
          <w:r>
            <w:t>11</w:t>
          </w:r>
          <w:r>
            <w:fldChar w:fldCharType="end"/>
          </w:r>
          <w:r>
            <w:fldChar w:fldCharType="end"/>
          </w:r>
        </w:p>
        <w:p w14:paraId="1C2385F7">
          <w:pPr>
            <w:pStyle w:val="14"/>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_Toc10822 </w:instrText>
          </w:r>
          <w:r>
            <w:fldChar w:fldCharType="separate"/>
          </w:r>
          <w:r>
            <w:rPr>
              <w:rFonts w:hint="default"/>
              <w:lang w:val="en-US" w:eastAsia="zh-CN"/>
            </w:rPr>
            <w:t xml:space="preserve">3.1.3. </w:t>
          </w:r>
          <w:r>
            <w:rPr>
              <w:rFonts w:hint="eastAsia"/>
              <w:lang w:val="en-US" w:eastAsia="zh-CN"/>
            </w:rPr>
            <w:t>下年度工作重点</w:t>
          </w:r>
          <w:r>
            <w:tab/>
          </w:r>
          <w:r>
            <w:fldChar w:fldCharType="begin"/>
          </w:r>
          <w:r>
            <w:instrText xml:space="preserve"> PAGEREF _Toc10822 \h </w:instrText>
          </w:r>
          <w:r>
            <w:fldChar w:fldCharType="separate"/>
          </w:r>
          <w:r>
            <w:t>11</w:t>
          </w:r>
          <w:r>
            <w:fldChar w:fldCharType="end"/>
          </w:r>
          <w:r>
            <w:fldChar w:fldCharType="end"/>
          </w:r>
        </w:p>
        <w:p w14:paraId="0CB574DC">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555FBD1">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3807D10">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\h \c "表"</w:instrText>
      </w:r>
      <w:r>
        <w:fldChar w:fldCharType="separate"/>
      </w:r>
      <w:r>
        <w:fldChar w:fldCharType="begin"/>
      </w:r>
      <w:r>
        <w:instrText xml:space="preserve"> HYPERLINK \l _Toc1627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2025年度人员招聘计划</w:t>
      </w:r>
      <w:r>
        <w:rPr>
          <w:rFonts w:hint="eastAsia"/>
          <w:lang w:val="en-US" w:eastAsia="zh-CN"/>
        </w:rPr>
        <w:t>完成情况</w:t>
      </w:r>
      <w:r>
        <w:tab/>
      </w:r>
      <w:r>
        <w:fldChar w:fldCharType="begin"/>
      </w:r>
      <w:r>
        <w:instrText xml:space="preserve"> PAGEREF _Toc1627 \h </w:instrText>
      </w:r>
      <w:r>
        <w:fldChar w:fldCharType="separate"/>
      </w:r>
      <w:r>
        <w:t>5</w:t>
      </w:r>
      <w:r>
        <w:fldChar w:fldCharType="end"/>
      </w:r>
      <w:r>
        <w:fldChar w:fldCharType="end"/>
      </w:r>
    </w:p>
    <w:p w14:paraId="0429D5A7">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储备</w:t>
      </w:r>
      <w:r>
        <w:t>计划</w:t>
      </w:r>
      <w:r>
        <w:rPr>
          <w:rFonts w:hint="eastAsia"/>
          <w:lang w:val="en-US" w:eastAsia="zh-CN"/>
        </w:rPr>
        <w:t>完成情况</w:t>
      </w:r>
      <w:r>
        <w:tab/>
      </w:r>
      <w:r>
        <w:fldChar w:fldCharType="begin"/>
      </w:r>
      <w:r>
        <w:instrText xml:space="preserve"> PAGEREF _Toc1375 \h </w:instrText>
      </w:r>
      <w:r>
        <w:fldChar w:fldCharType="separate"/>
      </w:r>
      <w:r>
        <w:t>6</w:t>
      </w:r>
      <w:r>
        <w:fldChar w:fldCharType="end"/>
      </w:r>
      <w:r>
        <w:fldChar w:fldCharType="end"/>
      </w:r>
    </w:p>
    <w:p w14:paraId="4638645B">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_Toc14177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培训</w:t>
      </w:r>
      <w:r>
        <w:t>计划</w:t>
      </w:r>
      <w:r>
        <w:rPr>
          <w:rFonts w:hint="eastAsia"/>
          <w:lang w:val="en-US" w:eastAsia="zh-CN"/>
        </w:rPr>
        <w:t>完成情况</w:t>
      </w:r>
      <w:r>
        <w:tab/>
      </w:r>
      <w:r>
        <w:fldChar w:fldCharType="begin"/>
      </w:r>
      <w:r>
        <w:instrText xml:space="preserve"> PAGEREF _Toc14177 \h </w:instrText>
      </w:r>
      <w:r>
        <w:fldChar w:fldCharType="separate"/>
      </w:r>
      <w:r>
        <w:t>7</w:t>
      </w:r>
      <w:r>
        <w:fldChar w:fldCharType="end"/>
      </w:r>
      <w:r>
        <w:fldChar w:fldCharType="end"/>
      </w:r>
    </w:p>
    <w:p w14:paraId="08392F95">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_Toc9731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培训资金使用情况</w:t>
      </w:r>
      <w:r>
        <w:tab/>
      </w:r>
      <w:r>
        <w:fldChar w:fldCharType="begin"/>
      </w:r>
      <w:r>
        <w:instrText xml:space="preserve"> PAGEREF _Toc9731 \h </w:instrText>
      </w:r>
      <w:r>
        <w:fldChar w:fldCharType="separate"/>
      </w:r>
      <w:r>
        <w:t>7</w:t>
      </w:r>
      <w:r>
        <w:fldChar w:fldCharType="end"/>
      </w:r>
      <w:r>
        <w:fldChar w:fldCharType="end"/>
      </w:r>
    </w:p>
    <w:p w14:paraId="2875BDE2">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_Toc2305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备份</w:t>
      </w:r>
      <w:r>
        <w:t>计划</w:t>
      </w:r>
      <w:r>
        <w:rPr>
          <w:rFonts w:hint="eastAsia"/>
          <w:lang w:val="en-US" w:eastAsia="zh-CN"/>
        </w:rPr>
        <w:t>完成情况</w:t>
      </w:r>
      <w:r>
        <w:tab/>
      </w:r>
      <w:r>
        <w:fldChar w:fldCharType="begin"/>
      </w:r>
      <w:r>
        <w:instrText xml:space="preserve"> PAGEREF _Toc2305 \h </w:instrText>
      </w:r>
      <w:r>
        <w:fldChar w:fldCharType="separate"/>
      </w:r>
      <w:r>
        <w:t>8</w:t>
      </w:r>
      <w:r>
        <w:fldChar w:fldCharType="end"/>
      </w:r>
      <w:r>
        <w:fldChar w:fldCharType="end"/>
      </w:r>
    </w:p>
    <w:p w14:paraId="155358BA">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_Toc24654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绩效考核</w:t>
      </w:r>
      <w:r>
        <w:t>计划</w:t>
      </w:r>
      <w:r>
        <w:rPr>
          <w:rFonts w:hint="eastAsia"/>
          <w:lang w:val="en-US" w:eastAsia="zh-CN"/>
        </w:rPr>
        <w:t>完成情况</w:t>
      </w:r>
      <w:r>
        <w:tab/>
      </w:r>
      <w:r>
        <w:fldChar w:fldCharType="begin"/>
      </w:r>
      <w:r>
        <w:instrText xml:space="preserve"> PAGEREF _Toc24654 \h </w:instrText>
      </w:r>
      <w:r>
        <w:fldChar w:fldCharType="separate"/>
      </w:r>
      <w:r>
        <w:t>9</w:t>
      </w:r>
      <w:r>
        <w:fldChar w:fldCharType="end"/>
      </w:r>
      <w:r>
        <w:fldChar w:fldCharType="end"/>
      </w:r>
    </w:p>
    <w:p w14:paraId="668B2602">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_Toc10196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绩效考核人员占比</w:t>
      </w:r>
      <w:r>
        <w:tab/>
      </w:r>
      <w:r>
        <w:fldChar w:fldCharType="begin"/>
      </w:r>
      <w:r>
        <w:instrText xml:space="preserve"> PAGEREF _Toc10196 \h </w:instrText>
      </w:r>
      <w:r>
        <w:fldChar w:fldCharType="separate"/>
      </w:r>
      <w:r>
        <w:t>9</w:t>
      </w:r>
      <w:r>
        <w:fldChar w:fldCharType="end"/>
      </w:r>
      <w:r>
        <w:fldChar w:fldCharType="end"/>
      </w:r>
    </w:p>
    <w:p w14:paraId="3503B55E">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_Toc14922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2025年度人员</w:t>
      </w:r>
      <w:r>
        <w:rPr>
          <w:rFonts w:hint="eastAsia"/>
          <w:lang w:val="en-US" w:eastAsia="zh-CN"/>
        </w:rPr>
        <w:t>技能评定完成情况</w:t>
      </w:r>
      <w:r>
        <w:tab/>
      </w:r>
      <w:r>
        <w:fldChar w:fldCharType="begin"/>
      </w:r>
      <w:r>
        <w:instrText xml:space="preserve"> PAGEREF _Toc14922 \h </w:instrText>
      </w:r>
      <w:r>
        <w:fldChar w:fldCharType="separate"/>
      </w:r>
      <w:r>
        <w:t>10</w:t>
      </w:r>
      <w:r>
        <w:fldChar w:fldCharType="end"/>
      </w:r>
      <w:r>
        <w:fldChar w:fldCharType="end"/>
      </w:r>
    </w:p>
    <w:p w14:paraId="56E9D50E">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_Toc25547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default"/>
          <w:lang w:val="en-US" w:eastAsia="zh-CN"/>
        </w:rPr>
        <w:t xml:space="preserve"> </w:t>
      </w:r>
      <w:r>
        <w:t>2025年度人员</w:t>
      </w:r>
      <w:r>
        <w:rPr>
          <w:rFonts w:hint="eastAsia"/>
          <w:lang w:val="en-US" w:eastAsia="zh-CN"/>
        </w:rPr>
        <w:t>技能评定结果</w:t>
      </w:r>
      <w:r>
        <w:tab/>
      </w:r>
      <w:r>
        <w:fldChar w:fldCharType="begin"/>
      </w:r>
      <w:r>
        <w:instrText xml:space="preserve"> PAGEREF _Toc25547 \h </w:instrText>
      </w:r>
      <w:r>
        <w:fldChar w:fldCharType="separate"/>
      </w:r>
      <w:r>
        <w:t>10</w:t>
      </w:r>
      <w:r>
        <w:fldChar w:fldCharType="end"/>
      </w:r>
      <w:r>
        <w:fldChar w:fldCharType="end"/>
      </w:r>
    </w:p>
    <w:p w14:paraId="4654D861">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_Toc27152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w:t>
      </w:r>
      <w:r>
        <w:t>202</w:t>
      </w:r>
      <w:r>
        <w:rPr>
          <w:rFonts w:hint="eastAsia"/>
          <w:lang w:val="en-US" w:eastAsia="zh-CN"/>
        </w:rPr>
        <w:t>6年度工作重点</w:t>
      </w:r>
      <w:r>
        <w:tab/>
      </w:r>
      <w:r>
        <w:fldChar w:fldCharType="begin"/>
      </w:r>
      <w:r>
        <w:instrText xml:space="preserve"> PAGEREF _Toc27152 \h </w:instrText>
      </w:r>
      <w:r>
        <w:fldChar w:fldCharType="separate"/>
      </w:r>
      <w:r>
        <w:t>11</w:t>
      </w:r>
      <w:r>
        <w:fldChar w:fldCharType="end"/>
      </w:r>
      <w:r>
        <w:fldChar w:fldCharType="end"/>
      </w:r>
    </w:p>
    <w:p w14:paraId="0848DB38">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14:paraId="41DCD4D5">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3D1321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8D74F5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 w:name="_Toc20662"/>
      <w:r>
        <w:rPr>
          <w:rFonts w:hint="eastAsia"/>
          <w:lang w:val="en-US" w:eastAsia="zh-CN"/>
        </w:rPr>
        <w:t>报告概况</w:t>
      </w:r>
      <w:bookmarkEnd w:id="1"/>
    </w:p>
    <w:p w14:paraId="58D3E9C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5248"/>
      <w:r>
        <w:rPr>
          <w:rFonts w:hint="eastAsia"/>
          <w:lang w:val="en-US" w:eastAsia="zh-CN"/>
        </w:rPr>
        <w:t>报告基本信息</w:t>
      </w:r>
      <w:bookmarkEnd w:id="2"/>
    </w:p>
    <w:p w14:paraId="128D247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本报告为华风数据(深圳)有限公司2025年度运维服务能力管理报告，报告周期为2025年1月1日至2025年12月31日。本报告为年度能力管理报告，由运维部编制，报告责任人为运维部经理</w:t>
      </w:r>
    </w:p>
    <w:p w14:paraId="13B498B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406"/>
      <w:r>
        <w:rPr>
          <w:rFonts w:hint="eastAsia"/>
          <w:lang w:val="en-US" w:eastAsia="zh-CN"/>
        </w:rPr>
        <w:t>报告目的</w:t>
      </w:r>
      <w:bookmarkEnd w:id="3"/>
    </w:p>
    <w:p w14:paraId="5CBAFE7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本报告旨在总结公司2025年度运维服务能力管理工作的执行情况，评估人员、资源、技术、过程</w:t>
      </w:r>
      <w:r>
        <w:rPr>
          <w:rFonts w:hint="eastAsia"/>
          <w:lang w:val="en-US" w:eastAsia="zh-CN"/>
        </w:rPr>
        <w:t>四大能力域以及</w:t>
      </w:r>
      <w:r>
        <w:t>交付</w:t>
      </w:r>
      <w:r>
        <w:rPr>
          <w:rFonts w:hint="eastAsia"/>
          <w:lang w:eastAsia="zh-CN"/>
        </w:rPr>
        <w:t>、</w:t>
      </w:r>
      <w:r>
        <w:t>应急</w:t>
      </w:r>
      <w:r>
        <w:rPr>
          <w:rFonts w:hint="eastAsia"/>
          <w:lang w:val="en-US" w:eastAsia="zh-CN"/>
        </w:rPr>
        <w:t>和</w:t>
      </w:r>
      <w:r>
        <w:t>质量目标达成情况，分析存在的问题，为下一年度能力管理提供改进依据。</w:t>
      </w:r>
    </w:p>
    <w:p w14:paraId="3227B5F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5877"/>
      <w:r>
        <w:rPr>
          <w:rFonts w:hint="eastAsia"/>
          <w:lang w:val="en-US" w:eastAsia="zh-CN"/>
        </w:rPr>
        <w:t>人员管理报告</w:t>
      </w:r>
      <w:bookmarkEnd w:id="4"/>
    </w:p>
    <w:p w14:paraId="0CE573B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5"/>
      <w:bookmarkStart w:id="6" w:name="_Toc135"/>
      <w:bookmarkStart w:id="7" w:name="_Toc29014"/>
      <w:r>
        <w:t>人员招聘计划执行情况</w:t>
      </w:r>
      <w:bookmarkEnd w:id="5"/>
      <w:bookmarkEnd w:id="6"/>
      <w:bookmarkEnd w:id="7"/>
    </w:p>
    <w:p w14:paraId="4BE57EA4">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6"/>
      <w:bookmarkStart w:id="9" w:name="_Toc17242"/>
      <w:bookmarkStart w:id="10" w:name="_Toc29300"/>
      <w:r>
        <w:t>招聘完成情况</w:t>
      </w:r>
      <w:bookmarkEnd w:id="8"/>
      <w:bookmarkEnd w:id="9"/>
      <w:bookmarkEnd w:id="10"/>
    </w:p>
    <w:p w14:paraId="2A0D06D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2025年度计划招聘6人，实际到岗6人，招聘计划达成率100%。</w:t>
      </w:r>
    </w:p>
    <w:p w14:paraId="3882ADD8">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21501"/>
      <w:bookmarkStart w:id="12" w:name="_Toc1627"/>
      <w:r>
        <w:rPr>
          <w:rFonts w:hint="default"/>
          <w:lang w:val="en-US" w:eastAsia="zh-CN"/>
        </w:rPr>
        <w:t xml:space="preserve"> </w:t>
      </w:r>
      <w:r>
        <w:t>2025年度人员招聘计划</w:t>
      </w:r>
      <w:r>
        <w:rPr>
          <w:rFonts w:hint="eastAsia"/>
          <w:lang w:val="en-US" w:eastAsia="zh-CN"/>
        </w:rPr>
        <w:t>完成情况</w:t>
      </w:r>
      <w:bookmarkEnd w:id="11"/>
      <w:bookmarkEnd w:id="12"/>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22"/>
        <w:gridCol w:w="1926"/>
        <w:gridCol w:w="1692"/>
        <w:gridCol w:w="1692"/>
        <w:gridCol w:w="965"/>
        <w:gridCol w:w="1525"/>
      </w:tblGrid>
      <w:tr w14:paraId="555B1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2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E32E1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2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A1BD61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岗位名称</w:t>
            </w:r>
          </w:p>
        </w:tc>
        <w:tc>
          <w:tcPr>
            <w:tcW w:w="16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CB055C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计划招聘人数</w:t>
            </w:r>
          </w:p>
        </w:tc>
        <w:tc>
          <w:tcPr>
            <w:tcW w:w="16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353872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实际到岗人数</w:t>
            </w:r>
          </w:p>
        </w:tc>
        <w:tc>
          <w:tcPr>
            <w:tcW w:w="96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C2728E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达成率</w:t>
            </w:r>
          </w:p>
        </w:tc>
        <w:tc>
          <w:tcPr>
            <w:tcW w:w="152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BBACE3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到岗时间</w:t>
            </w:r>
          </w:p>
        </w:tc>
      </w:tr>
      <w:tr w14:paraId="3E0CA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vMerge w:val="restart"/>
            <w:tcBorders>
              <w:top w:val="single" w:color="auto" w:sz="4" w:space="0"/>
              <w:left w:val="single" w:color="auto" w:sz="12" w:space="0"/>
              <w:bottom w:val="nil"/>
              <w:right w:val="nil"/>
            </w:tcBorders>
            <w:tcMar>
              <w:top w:w="60" w:type="dxa"/>
              <w:left w:w="120" w:type="dxa"/>
              <w:bottom w:w="30" w:type="dxa"/>
              <w:right w:w="120" w:type="dxa"/>
            </w:tcMar>
            <w:vAlign w:val="center"/>
          </w:tcPr>
          <w:p w14:paraId="4481FD2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26" w:type="dxa"/>
            <w:vMerge w:val="restart"/>
            <w:tcBorders>
              <w:top w:val="single" w:color="auto" w:sz="4" w:space="0"/>
              <w:left w:val="single" w:color="auto" w:sz="4" w:space="0"/>
              <w:bottom w:val="nil"/>
              <w:right w:val="nil"/>
            </w:tcBorders>
            <w:tcMar>
              <w:top w:w="60" w:type="dxa"/>
              <w:left w:w="120" w:type="dxa"/>
              <w:bottom w:w="30" w:type="dxa"/>
              <w:right w:w="120" w:type="dxa"/>
            </w:tcMar>
            <w:vAlign w:val="center"/>
          </w:tcPr>
          <w:p w14:paraId="12F9CF0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运维项目经理</w:t>
            </w:r>
          </w:p>
        </w:tc>
        <w:tc>
          <w:tcPr>
            <w:tcW w:w="1692" w:type="dxa"/>
            <w:vMerge w:val="restart"/>
            <w:tcBorders>
              <w:top w:val="single" w:color="auto" w:sz="4" w:space="0"/>
              <w:left w:val="single" w:color="auto" w:sz="4" w:space="0"/>
              <w:bottom w:val="nil"/>
              <w:right w:val="nil"/>
            </w:tcBorders>
            <w:tcMar>
              <w:top w:w="60" w:type="dxa"/>
              <w:left w:w="120" w:type="dxa"/>
              <w:bottom w:w="30" w:type="dxa"/>
              <w:right w:w="120" w:type="dxa"/>
            </w:tcMar>
            <w:vAlign w:val="center"/>
          </w:tcPr>
          <w:p w14:paraId="56F7FCB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692" w:type="dxa"/>
            <w:vMerge w:val="restart"/>
            <w:tcBorders>
              <w:top w:val="single" w:color="auto" w:sz="4" w:space="0"/>
              <w:left w:val="single" w:color="auto" w:sz="4" w:space="0"/>
              <w:bottom w:val="nil"/>
              <w:right w:val="nil"/>
            </w:tcBorders>
            <w:tcMar>
              <w:top w:w="60" w:type="dxa"/>
              <w:left w:w="120" w:type="dxa"/>
              <w:bottom w:w="30" w:type="dxa"/>
              <w:right w:w="120" w:type="dxa"/>
            </w:tcMar>
            <w:vAlign w:val="center"/>
          </w:tcPr>
          <w:p w14:paraId="32939B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965" w:type="dxa"/>
            <w:vMerge w:val="restart"/>
            <w:tcBorders>
              <w:top w:val="single" w:color="auto" w:sz="4" w:space="0"/>
              <w:left w:val="single" w:color="auto" w:sz="4" w:space="0"/>
              <w:bottom w:val="nil"/>
              <w:right w:val="nil"/>
            </w:tcBorders>
            <w:tcMar>
              <w:top w:w="60" w:type="dxa"/>
              <w:left w:w="120" w:type="dxa"/>
              <w:bottom w:w="30" w:type="dxa"/>
              <w:right w:w="120" w:type="dxa"/>
            </w:tcMar>
            <w:vAlign w:val="center"/>
          </w:tcPr>
          <w:p w14:paraId="3195EE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22A54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2025年3月</w:t>
            </w:r>
          </w:p>
        </w:tc>
      </w:tr>
      <w:tr w14:paraId="2A277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vMerge w:val="continue"/>
            <w:tcBorders>
              <w:top w:val="single" w:color="auto" w:sz="4" w:space="0"/>
              <w:left w:val="single" w:color="auto" w:sz="12" w:space="0"/>
              <w:bottom w:val="nil"/>
              <w:right w:val="nil"/>
            </w:tcBorders>
            <w:tcMar>
              <w:top w:w="60" w:type="dxa"/>
              <w:left w:w="120" w:type="dxa"/>
              <w:bottom w:w="30" w:type="dxa"/>
              <w:right w:w="120" w:type="dxa"/>
            </w:tcMar>
            <w:vAlign w:val="center"/>
          </w:tcPr>
          <w:p w14:paraId="0DC0D60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926" w:type="dxa"/>
            <w:vMerge w:val="continue"/>
            <w:tcBorders>
              <w:top w:val="single" w:color="auto" w:sz="4" w:space="0"/>
              <w:left w:val="single" w:color="auto" w:sz="4" w:space="0"/>
              <w:bottom w:val="nil"/>
              <w:right w:val="nil"/>
            </w:tcBorders>
            <w:tcMar>
              <w:top w:w="60" w:type="dxa"/>
              <w:left w:w="120" w:type="dxa"/>
              <w:bottom w:w="30" w:type="dxa"/>
              <w:right w:w="120" w:type="dxa"/>
            </w:tcMar>
            <w:vAlign w:val="center"/>
          </w:tcPr>
          <w:p w14:paraId="5F4F1FD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692" w:type="dxa"/>
            <w:vMerge w:val="continue"/>
            <w:tcBorders>
              <w:top w:val="single" w:color="auto" w:sz="4" w:space="0"/>
              <w:left w:val="single" w:color="auto" w:sz="4" w:space="0"/>
              <w:bottom w:val="nil"/>
              <w:right w:val="nil"/>
            </w:tcBorders>
            <w:tcMar>
              <w:top w:w="60" w:type="dxa"/>
              <w:left w:w="120" w:type="dxa"/>
              <w:bottom w:w="30" w:type="dxa"/>
              <w:right w:w="120" w:type="dxa"/>
            </w:tcMar>
            <w:vAlign w:val="center"/>
          </w:tcPr>
          <w:p w14:paraId="677FF30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692" w:type="dxa"/>
            <w:vMerge w:val="continue"/>
            <w:tcBorders>
              <w:top w:val="single" w:color="auto" w:sz="4" w:space="0"/>
              <w:left w:val="single" w:color="auto" w:sz="4" w:space="0"/>
              <w:bottom w:val="nil"/>
              <w:right w:val="nil"/>
            </w:tcBorders>
            <w:tcMar>
              <w:top w:w="60" w:type="dxa"/>
              <w:left w:w="120" w:type="dxa"/>
              <w:bottom w:w="30" w:type="dxa"/>
              <w:right w:w="120" w:type="dxa"/>
            </w:tcMar>
            <w:vAlign w:val="center"/>
          </w:tcPr>
          <w:p w14:paraId="04D429E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965" w:type="dxa"/>
            <w:vMerge w:val="continue"/>
            <w:tcBorders>
              <w:top w:val="single" w:color="auto" w:sz="4" w:space="0"/>
              <w:left w:val="single" w:color="auto" w:sz="4" w:space="0"/>
              <w:bottom w:val="nil"/>
              <w:right w:val="nil"/>
            </w:tcBorders>
            <w:tcMar>
              <w:top w:w="60" w:type="dxa"/>
              <w:left w:w="120" w:type="dxa"/>
              <w:bottom w:w="30" w:type="dxa"/>
              <w:right w:w="120" w:type="dxa"/>
            </w:tcMar>
            <w:vAlign w:val="center"/>
          </w:tcPr>
          <w:p w14:paraId="4FE6CD8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A08C6D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rPr>
                <w:rFonts w:hint="eastAsia"/>
                <w:lang w:val="en-US" w:eastAsia="zh-CN"/>
              </w:rPr>
              <w:t>2025年</w:t>
            </w:r>
            <w:r>
              <w:t>12月</w:t>
            </w:r>
          </w:p>
        </w:tc>
      </w:tr>
      <w:tr w14:paraId="285A2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4D0DB5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9D94D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硬件运维工程师</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77324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6CBC3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A20CA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AF9D10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2025年3月</w:t>
            </w:r>
          </w:p>
        </w:tc>
      </w:tr>
      <w:tr w14:paraId="0E6EF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97C88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67AC7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服务台专员</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8A9A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60FE6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EDE63E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25748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2025年9月</w:t>
            </w:r>
          </w:p>
        </w:tc>
      </w:tr>
      <w:tr w14:paraId="6F783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1F6BF8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08FF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8C470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7DC5F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837D7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D350B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2025年6月</w:t>
            </w:r>
          </w:p>
        </w:tc>
      </w:tr>
      <w:tr w14:paraId="4896C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F32B3E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D8EAB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产品质量部专员</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34491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84151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DAF5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0B7DDE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2025年9月</w:t>
            </w:r>
          </w:p>
        </w:tc>
      </w:tr>
      <w:tr w14:paraId="7E61A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09551A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192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717408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6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F453CA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6</w:t>
            </w:r>
          </w:p>
        </w:tc>
        <w:tc>
          <w:tcPr>
            <w:tcW w:w="16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77011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6</w:t>
            </w:r>
          </w:p>
        </w:tc>
        <w:tc>
          <w:tcPr>
            <w:tcW w:w="96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35BB29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100%</w:t>
            </w:r>
          </w:p>
        </w:tc>
        <w:tc>
          <w:tcPr>
            <w:tcW w:w="152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0AE029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p>
        </w:tc>
      </w:tr>
    </w:tbl>
    <w:p w14:paraId="57058840">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0982"/>
      <w:bookmarkStart w:id="14" w:name="_Toc20929"/>
      <w:bookmarkStart w:id="15" w:name="heading_7"/>
      <w:r>
        <w:t>招聘工作成效</w:t>
      </w:r>
      <w:bookmarkEnd w:id="13"/>
      <w:bookmarkEnd w:id="14"/>
      <w:bookmarkEnd w:id="15"/>
    </w:p>
    <w:p w14:paraId="1F97D21A">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所有招聘岗位均在计划时间内完成到岗</w:t>
      </w:r>
    </w:p>
    <w:p w14:paraId="03B96674">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招聘渠道主要包括招聘网站、内部储备和校园招聘</w:t>
      </w:r>
    </w:p>
    <w:p w14:paraId="13774F88">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新员工入职后均完成入职培训和试用期考核，试用期通过率100%</w:t>
      </w:r>
    </w:p>
    <w:p w14:paraId="4333B903">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8"/>
      <w:bookmarkStart w:id="17" w:name="_Toc21927"/>
      <w:bookmarkStart w:id="18" w:name="_Toc9738"/>
      <w:r>
        <w:t>存在问题与改进措施</w:t>
      </w:r>
      <w:bookmarkEnd w:id="16"/>
      <w:bookmarkEnd w:id="17"/>
      <w:bookmarkEnd w:id="18"/>
    </w:p>
    <w:p w14:paraId="74267FD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hAnsi="Segoe UI" w:eastAsia="Segoe UI" w:cs="Segoe UI"/>
          <w:i w:val="0"/>
          <w:iCs w:val="0"/>
          <w:caps w:val="0"/>
          <w:color w:val="0F1115"/>
          <w:spacing w:val="0"/>
          <w:sz w:val="24"/>
          <w:szCs w:val="24"/>
          <w:shd w:val="clear" w:color="auto" w:fill="FFFFFF"/>
        </w:rPr>
        <w:t>针对运维项目经理</w:t>
      </w:r>
      <w:r>
        <w:rPr>
          <w:rFonts w:hint="eastAsia" w:ascii="Segoe UI" w:hAnsi="Segoe UI" w:eastAsia="宋体" w:cs="Segoe UI"/>
          <w:i w:val="0"/>
          <w:iCs w:val="0"/>
          <w:caps w:val="0"/>
          <w:color w:val="0F1115"/>
          <w:spacing w:val="0"/>
          <w:sz w:val="24"/>
          <w:szCs w:val="24"/>
          <w:shd w:val="clear" w:color="auto" w:fill="FFFFFF"/>
          <w:lang w:val="en-US" w:eastAsia="zh-CN"/>
        </w:rPr>
        <w:t>候选人来源渠道单一、招聘周期长的现状</w:t>
      </w:r>
      <w:r>
        <w:rPr>
          <w:rFonts w:ascii="Segoe UI" w:hAnsi="Segoe UI" w:eastAsia="Segoe UI" w:cs="Segoe UI"/>
          <w:i w:val="0"/>
          <w:iCs w:val="0"/>
          <w:caps w:val="0"/>
          <w:color w:val="0F1115"/>
          <w:spacing w:val="0"/>
          <w:sz w:val="24"/>
          <w:szCs w:val="24"/>
          <w:shd w:val="clear" w:color="auto" w:fill="FFFFFF"/>
        </w:rPr>
        <w:t>，综合部计划在2026年第一季度通过拓展猎头招聘渠道、建立运维项目经理专项人才库的方式，扩大候选人来源渠道，提升岗位招聘效率。同时，加强与行业内相关人才的日常联系，形成常态化的人才储备机制，确保岗位空缺时能够快速补充合适人选。</w:t>
      </w:r>
    </w:p>
    <w:p w14:paraId="0571D83D">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9"/>
      <w:bookmarkStart w:id="20" w:name="_Toc24144"/>
      <w:bookmarkStart w:id="21" w:name="_Toc678"/>
      <w:r>
        <w:t>人员储备计划执行情况</w:t>
      </w:r>
      <w:bookmarkEnd w:id="19"/>
      <w:bookmarkEnd w:id="20"/>
      <w:bookmarkEnd w:id="21"/>
    </w:p>
    <w:p w14:paraId="17B18929">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13063"/>
      <w:bookmarkStart w:id="24" w:name="_Toc16283"/>
      <w:r>
        <w:t>储备完成情况</w:t>
      </w:r>
      <w:bookmarkEnd w:id="22"/>
      <w:bookmarkEnd w:id="23"/>
      <w:bookmarkEnd w:id="24"/>
    </w:p>
    <w:p w14:paraId="0EB2642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2025年度计划储备</w:t>
      </w:r>
      <w:r>
        <w:rPr>
          <w:rFonts w:hint="eastAsia"/>
          <w:lang w:val="en-US" w:eastAsia="zh-CN"/>
        </w:rPr>
        <w:t>2</w:t>
      </w:r>
      <w:r>
        <w:t>人，实际储备</w:t>
      </w:r>
      <w:r>
        <w:rPr>
          <w:rFonts w:hint="eastAsia"/>
          <w:lang w:val="en-US" w:eastAsia="zh-CN"/>
        </w:rPr>
        <w:t>2</w:t>
      </w:r>
      <w:r>
        <w:t>人，储备计划达成率100%。</w:t>
      </w:r>
    </w:p>
    <w:p w14:paraId="44F8DDA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8"/>
      <w:bookmarkStart w:id="26" w:name="_Toc1375"/>
      <w:r>
        <w:rPr>
          <w:rFonts w:hint="default"/>
          <w:lang w:val="en-US" w:eastAsia="zh-CN"/>
        </w:rPr>
        <w:t xml:space="preserve"> </w:t>
      </w:r>
      <w:r>
        <w:t>2025年度人员</w:t>
      </w:r>
      <w:r>
        <w:rPr>
          <w:rFonts w:hint="eastAsia"/>
          <w:lang w:val="en-US" w:eastAsia="zh-CN"/>
        </w:rPr>
        <w:t>储备</w:t>
      </w:r>
      <w:r>
        <w:t>计划</w:t>
      </w:r>
      <w:r>
        <w:rPr>
          <w:rFonts w:hint="eastAsia"/>
          <w:lang w:val="en-US" w:eastAsia="zh-CN"/>
        </w:rPr>
        <w:t>完成情况</w:t>
      </w:r>
      <w:bookmarkEnd w:id="25"/>
      <w:bookmarkEnd w:id="2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
        <w:gridCol w:w="1574"/>
        <w:gridCol w:w="1800"/>
        <w:gridCol w:w="1606"/>
        <w:gridCol w:w="1049"/>
        <w:gridCol w:w="1868"/>
      </w:tblGrid>
      <w:tr w14:paraId="4F3FD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E6D30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57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A7033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c>
          <w:tcPr>
            <w:tcW w:w="180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56AE7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储备岗位</w:t>
            </w:r>
          </w:p>
        </w:tc>
        <w:tc>
          <w:tcPr>
            <w:tcW w:w="16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CBFD8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储备方式</w:t>
            </w:r>
          </w:p>
        </w:tc>
        <w:tc>
          <w:tcPr>
            <w:tcW w:w="104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87EE1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储备目标人数</w:t>
            </w:r>
          </w:p>
        </w:tc>
        <w:tc>
          <w:tcPr>
            <w:tcW w:w="18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AAA79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完成时间</w:t>
            </w:r>
          </w:p>
        </w:tc>
      </w:tr>
      <w:tr w14:paraId="7A309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3DA04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1</w:t>
            </w:r>
          </w:p>
        </w:tc>
        <w:tc>
          <w:tcPr>
            <w:tcW w:w="15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9800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180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CAC7B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2B30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10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0FAE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8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9DCE4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r>
      <w:tr w14:paraId="179B7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7F8CA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2</w:t>
            </w:r>
          </w:p>
        </w:tc>
        <w:tc>
          <w:tcPr>
            <w:tcW w:w="157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5743B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2025年12月</w:t>
            </w:r>
          </w:p>
        </w:tc>
        <w:tc>
          <w:tcPr>
            <w:tcW w:w="18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12FD3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研发工程师</w:t>
            </w:r>
          </w:p>
        </w:tc>
        <w:tc>
          <w:tcPr>
            <w:tcW w:w="16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1EA55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10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500CE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8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A13D6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2025年12月</w:t>
            </w:r>
          </w:p>
        </w:tc>
      </w:tr>
    </w:tbl>
    <w:p w14:paraId="1D69AED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08990A4E">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6611"/>
      <w:bookmarkStart w:id="28" w:name="heading_11"/>
      <w:bookmarkStart w:id="29" w:name="_Toc9592"/>
      <w:r>
        <w:t>储备培养情况</w:t>
      </w:r>
      <w:bookmarkEnd w:id="27"/>
      <w:bookmarkEnd w:id="28"/>
      <w:bookmarkEnd w:id="29"/>
    </w:p>
    <w:p w14:paraId="1840CCE8">
      <w:pPr>
        <w:pStyle w:val="4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内部培养人员均完成导师制培养计划，培养周期3-6个月</w:t>
      </w:r>
    </w:p>
    <w:p w14:paraId="7B99C7AE">
      <w:pPr>
        <w:pStyle w:val="4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外部储备人员信息已录入《外部人才储备台账》，定期保持联系</w:t>
      </w:r>
    </w:p>
    <w:p w14:paraId="068274C5">
      <w:pPr>
        <w:pStyle w:val="4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储备人员能力验证合格率100%</w:t>
      </w:r>
    </w:p>
    <w:p w14:paraId="1C8A4399">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273"/>
      <w:bookmarkStart w:id="31" w:name="_Toc210"/>
      <w:bookmarkStart w:id="32" w:name="heading_12"/>
      <w:r>
        <w:t>存在问题与改进措施</w:t>
      </w:r>
      <w:bookmarkEnd w:id="30"/>
      <w:bookmarkEnd w:id="31"/>
      <w:bookmarkEnd w:id="32"/>
    </w:p>
    <w:p w14:paraId="1C04265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hAnsi="Segoe UI" w:eastAsia="Segoe UI" w:cs="Segoe UI"/>
          <w:i w:val="0"/>
          <w:iCs w:val="0"/>
          <w:caps w:val="0"/>
          <w:color w:val="0F1115"/>
          <w:spacing w:val="0"/>
          <w:sz w:val="24"/>
          <w:szCs w:val="24"/>
          <w:shd w:val="clear" w:color="auto" w:fill="FFFFFF"/>
        </w:rPr>
        <w:t>针对储备人员实战经验不足的问题，运维部将在2026年度加强储备人员的实践锻炼，每季度至少安排一次顶岗实习机会，让储备人员在真实工作场景中积累经验。同时，建立导师带教机制，由经验丰富的在岗人员对储备人员进行一对一指导，定期评估储备人员的能力提升情况，确保储备人员在需要顶岗时能够独立胜任岗位工作。</w:t>
      </w:r>
    </w:p>
    <w:p w14:paraId="270E0A1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11796"/>
      <w:bookmarkStart w:id="34" w:name="heading_13"/>
      <w:bookmarkStart w:id="35" w:name="_Toc2414"/>
      <w:r>
        <w:t>人员培训计划执行情况</w:t>
      </w:r>
      <w:bookmarkEnd w:id="33"/>
      <w:bookmarkEnd w:id="34"/>
      <w:bookmarkEnd w:id="35"/>
    </w:p>
    <w:p w14:paraId="1B78777A">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_Toc18319"/>
      <w:bookmarkStart w:id="37" w:name="heading_14"/>
      <w:bookmarkStart w:id="38" w:name="_Toc29059"/>
      <w:r>
        <w:t>培训完成情况</w:t>
      </w:r>
      <w:bookmarkEnd w:id="36"/>
      <w:bookmarkEnd w:id="37"/>
      <w:bookmarkEnd w:id="38"/>
    </w:p>
    <w:p w14:paraId="6B7A185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2025年度计划开展培训13项，实际完成13项，培训计划达成率100%。</w:t>
      </w:r>
    </w:p>
    <w:p w14:paraId="04FE195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9" w:name="_Toc14177"/>
      <w:bookmarkStart w:id="40" w:name="_Toc15009"/>
      <w:r>
        <w:rPr>
          <w:rFonts w:hint="default"/>
          <w:lang w:val="en-US" w:eastAsia="zh-CN"/>
        </w:rPr>
        <w:t xml:space="preserve"> </w:t>
      </w:r>
      <w:r>
        <w:t>2025年度人员</w:t>
      </w:r>
      <w:r>
        <w:rPr>
          <w:rFonts w:hint="eastAsia"/>
          <w:lang w:val="en-US" w:eastAsia="zh-CN"/>
        </w:rPr>
        <w:t>培训</w:t>
      </w:r>
      <w:r>
        <w:t>计划</w:t>
      </w:r>
      <w:r>
        <w:rPr>
          <w:rFonts w:hint="eastAsia"/>
          <w:lang w:val="en-US" w:eastAsia="zh-CN"/>
        </w:rPr>
        <w:t>完成情况</w:t>
      </w:r>
      <w:bookmarkEnd w:id="39"/>
      <w:bookmarkEnd w:id="40"/>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44"/>
        <w:gridCol w:w="744"/>
        <w:gridCol w:w="2730"/>
        <w:gridCol w:w="1571"/>
        <w:gridCol w:w="1742"/>
        <w:gridCol w:w="991"/>
      </w:tblGrid>
      <w:tr w14:paraId="0DEC4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4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53D3DB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类型</w:t>
            </w:r>
          </w:p>
        </w:tc>
        <w:tc>
          <w:tcPr>
            <w:tcW w:w="74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B6AB3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273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44F3E6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培训内容</w:t>
            </w:r>
          </w:p>
        </w:tc>
        <w:tc>
          <w:tcPr>
            <w:tcW w:w="157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9EAD78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计划时间</w:t>
            </w:r>
          </w:p>
        </w:tc>
        <w:tc>
          <w:tcPr>
            <w:tcW w:w="174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45F8FD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99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5B1876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69A1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4404B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D11970">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EA2E2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新员工入职培训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8387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入职一周内</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E78EF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按时完成</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6A36ED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lang w:eastAsia="zh-CN"/>
              </w:rPr>
            </w:pPr>
            <w:r>
              <w:rPr>
                <w:rFonts w:hint="eastAsia" w:ascii="Arial" w:eastAsia="宋体"/>
                <w:sz w:val="24"/>
                <w:lang w:val="en-US" w:eastAsia="zh-CN"/>
              </w:rPr>
              <w:t>已完成</w:t>
            </w:r>
          </w:p>
        </w:tc>
      </w:tr>
      <w:tr w14:paraId="0FCCF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B91E28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7A20FC">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CD17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ITSS运维体系培训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01922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2025年1月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595B5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2025年1月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B10C7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0C1CF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52C0A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65F18D">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7AE05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质量管理培训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E1343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2025年2月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F13E4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2025年2月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207FB8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1D4F6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940332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4C9AAF">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51314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现场实施规范</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6175C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2025年3月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55C3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2025年3月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90276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44213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80F990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20A129">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63CF8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运维工具培训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6C3ED9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2025年4月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1F54A6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2025年4月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EB5B5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35449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D74A8E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D924E02">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B6FDE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机房常见故障培训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ADC62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2025年6月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C0B12F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2025年6月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090CC8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58206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D81F9D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2C89E9">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56C2D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交付规范培训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B37AA8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2025年6月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EC6CB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2025年6月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4628CE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7131E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7088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2D1F50">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032BD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监控系统培训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285B1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2025年7月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157B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2025年7月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9A421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21D34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8A965E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7BE2DE">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52890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lang w:val="en-US" w:eastAsia="zh-CN"/>
              </w:rPr>
            </w:pPr>
            <w:r>
              <w:rPr>
                <w:rFonts w:hint="eastAsia"/>
                <w:sz w:val="24"/>
                <w:lang w:val="en-US" w:eastAsia="zh-CN"/>
              </w:rPr>
              <w:t>服务知识培训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7AE8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2025年8月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BA23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2025年8月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CD6BCF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1D07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2C4B37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F697B0">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C8DD6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lang w:val="en-US" w:eastAsia="zh-CN"/>
              </w:rPr>
            </w:pPr>
            <w:r>
              <w:rPr>
                <w:rFonts w:hint="eastAsia"/>
                <w:sz w:val="24"/>
                <w:lang w:val="en-US" w:eastAsia="zh-CN"/>
              </w:rPr>
              <w:t>研发管理规范培训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5B01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2025年9月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60ACE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2025年9月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6BC25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19773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shd w:val="clear" w:color="auto" w:fill="auto"/>
            <w:tcMar>
              <w:top w:w="60" w:type="dxa"/>
              <w:left w:w="120" w:type="dxa"/>
              <w:bottom w:w="30" w:type="dxa"/>
              <w:right w:w="120" w:type="dxa"/>
            </w:tcMar>
            <w:vAlign w:val="center"/>
          </w:tcPr>
          <w:p w14:paraId="1FF6F25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ascii="Arial" w:eastAsia="宋体"/>
                <w:sz w:val="24"/>
              </w:rPr>
              <w:t>技术</w:t>
            </w:r>
          </w:p>
        </w:tc>
        <w:tc>
          <w:tcPr>
            <w:tcW w:w="744"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1E9E5114">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hAnsi="Arial" w:eastAsia="宋体" w:cs="Arial"/>
                <w:snapToGrid w:val="0"/>
                <w:color w:val="000000"/>
                <w:kern w:val="0"/>
                <w:sz w:val="24"/>
                <w:szCs w:val="21"/>
                <w:lang w:val="en-US" w:eastAsia="zh-CN" w:bidi="ar-SA"/>
              </w:rPr>
            </w:pPr>
          </w:p>
        </w:tc>
        <w:tc>
          <w:tcPr>
            <w:tcW w:w="2730"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7522002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ascii="Arial" w:eastAsia="宋体"/>
                <w:sz w:val="24"/>
              </w:rPr>
              <w:t>机房设备基础知识培训</w:t>
            </w:r>
          </w:p>
        </w:tc>
        <w:tc>
          <w:tcPr>
            <w:tcW w:w="1571"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1C0F5B1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hAnsi="Arial" w:eastAsia="宋体" w:cs="Arial"/>
                <w:snapToGrid w:val="0"/>
                <w:color w:val="000000"/>
                <w:kern w:val="0"/>
                <w:sz w:val="24"/>
                <w:szCs w:val="21"/>
                <w:lang w:val="en-US" w:eastAsia="zh-CN" w:bidi="ar-SA"/>
              </w:rPr>
            </w:pPr>
            <w:r>
              <w:rPr>
                <w:rFonts w:ascii="Arial" w:eastAsia="宋体"/>
                <w:sz w:val="24"/>
              </w:rPr>
              <w:t>2025年</w:t>
            </w:r>
            <w:r>
              <w:rPr>
                <w:rFonts w:hint="eastAsia"/>
                <w:sz w:val="24"/>
                <w:lang w:val="en-US" w:eastAsia="zh-CN"/>
              </w:rPr>
              <w:t>10</w:t>
            </w:r>
            <w:r>
              <w:rPr>
                <w:rFonts w:ascii="Arial" w:eastAsia="宋体"/>
                <w:sz w:val="24"/>
              </w:rPr>
              <w:t>月</w:t>
            </w:r>
          </w:p>
        </w:tc>
        <w:tc>
          <w:tcPr>
            <w:tcW w:w="1742"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148D610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ascii="Arial" w:eastAsia="宋体"/>
                <w:sz w:val="24"/>
              </w:rPr>
              <w:t>2025年</w:t>
            </w:r>
            <w:r>
              <w:rPr>
                <w:rFonts w:hint="eastAsia"/>
                <w:sz w:val="24"/>
                <w:lang w:val="en-US" w:eastAsia="zh-CN"/>
              </w:rPr>
              <w:t>10</w:t>
            </w:r>
            <w:r>
              <w:rPr>
                <w:rFonts w:ascii="Arial" w:eastAsia="宋体"/>
                <w:sz w:val="24"/>
              </w:rPr>
              <w:t>月</w:t>
            </w:r>
          </w:p>
        </w:tc>
        <w:tc>
          <w:tcPr>
            <w:tcW w:w="991" w:type="dxa"/>
            <w:tcBorders>
              <w:top w:val="single" w:color="auto" w:sz="4" w:space="0"/>
              <w:left w:val="single" w:color="auto" w:sz="4" w:space="0"/>
              <w:bottom w:val="nil"/>
              <w:right w:val="single" w:color="auto" w:sz="12" w:space="0"/>
            </w:tcBorders>
            <w:shd w:val="clear" w:color="auto" w:fill="auto"/>
            <w:tcMar>
              <w:top w:w="60" w:type="dxa"/>
              <w:left w:w="120" w:type="dxa"/>
              <w:bottom w:w="30" w:type="dxa"/>
              <w:right w:w="120" w:type="dxa"/>
            </w:tcMar>
            <w:vAlign w:val="center"/>
          </w:tcPr>
          <w:p w14:paraId="7AF06D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已完成</w:t>
            </w:r>
          </w:p>
        </w:tc>
      </w:tr>
      <w:tr w14:paraId="344C4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8EC439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7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0E4ED0">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CF041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信息安全风险培训</w:t>
            </w:r>
          </w:p>
        </w:tc>
        <w:tc>
          <w:tcPr>
            <w:tcW w:w="15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9ED1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2025年11月</w:t>
            </w:r>
          </w:p>
        </w:tc>
        <w:tc>
          <w:tcPr>
            <w:tcW w:w="17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98ABE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2025年11月</w:t>
            </w:r>
          </w:p>
        </w:tc>
        <w:tc>
          <w:tcPr>
            <w:tcW w:w="99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AD9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1982C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4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AF30E0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w:t>
            </w:r>
          </w:p>
        </w:tc>
        <w:tc>
          <w:tcPr>
            <w:tcW w:w="74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67ED146">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ascii="Arial" w:eastAsia="宋体"/>
                <w:sz w:val="24"/>
              </w:rPr>
            </w:pPr>
          </w:p>
        </w:tc>
        <w:tc>
          <w:tcPr>
            <w:tcW w:w="273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396A86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备件管理制度培训</w:t>
            </w:r>
          </w:p>
        </w:tc>
        <w:tc>
          <w:tcPr>
            <w:tcW w:w="157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F3E6D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2025年12月</w:t>
            </w:r>
          </w:p>
        </w:tc>
        <w:tc>
          <w:tcPr>
            <w:tcW w:w="174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AF4225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2025年12月</w:t>
            </w:r>
          </w:p>
        </w:tc>
        <w:tc>
          <w:tcPr>
            <w:tcW w:w="99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F8CA1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lang w:val="en-US"/>
              </w:rPr>
            </w:pPr>
            <w:r>
              <w:rPr>
                <w:rFonts w:hint="eastAsia" w:ascii="Arial" w:eastAsia="宋体"/>
                <w:sz w:val="24"/>
                <w:lang w:val="en-US" w:eastAsia="zh-CN"/>
              </w:rPr>
              <w:t>已完成</w:t>
            </w:r>
          </w:p>
        </w:tc>
      </w:tr>
    </w:tbl>
    <w:p w14:paraId="6208A1B1">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19841"/>
      <w:bookmarkStart w:id="42" w:name="_Toc12219"/>
      <w:bookmarkStart w:id="43" w:name="heading_15"/>
      <w:r>
        <w:t>培训预算执行情况</w:t>
      </w:r>
      <w:bookmarkEnd w:id="41"/>
      <w:bookmarkEnd w:id="42"/>
      <w:bookmarkEnd w:id="43"/>
    </w:p>
    <w:p w14:paraId="1FA03EA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4" w:name="_Toc9731"/>
      <w:bookmarkStart w:id="45" w:name="_Toc5777"/>
      <w:r>
        <w:rPr>
          <w:rFonts w:hint="default"/>
          <w:lang w:val="en-US" w:eastAsia="zh-CN"/>
        </w:rPr>
        <w:t xml:space="preserve"> </w:t>
      </w:r>
      <w:r>
        <w:t>2025年度人员</w:t>
      </w:r>
      <w:r>
        <w:rPr>
          <w:rFonts w:hint="eastAsia"/>
          <w:lang w:val="en-US" w:eastAsia="zh-CN"/>
        </w:rPr>
        <w:t>培训资金使用情况</w:t>
      </w:r>
      <w:bookmarkEnd w:id="44"/>
      <w:bookmarkEnd w:id="45"/>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61"/>
        <w:gridCol w:w="2625"/>
        <w:gridCol w:w="2625"/>
        <w:gridCol w:w="1311"/>
      </w:tblGrid>
      <w:tr w14:paraId="51B64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6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206192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部门</w:t>
            </w:r>
          </w:p>
        </w:tc>
        <w:tc>
          <w:tcPr>
            <w:tcW w:w="2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92D3E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预算金额（元）</w:t>
            </w:r>
          </w:p>
        </w:tc>
        <w:tc>
          <w:tcPr>
            <w:tcW w:w="2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0C5918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实际支出（元）</w:t>
            </w:r>
          </w:p>
        </w:tc>
        <w:tc>
          <w:tcPr>
            <w:tcW w:w="131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82FBB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执行率</w:t>
            </w:r>
          </w:p>
        </w:tc>
      </w:tr>
      <w:tr w14:paraId="6BA13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8F5B28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运维部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C912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19,000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2F730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18,800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C13DE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98.9%</w:t>
            </w:r>
          </w:p>
        </w:tc>
      </w:tr>
      <w:tr w14:paraId="24E70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E42D3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研发部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8ECAEA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500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6E26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500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D787F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w:t>
            </w:r>
          </w:p>
        </w:tc>
      </w:tr>
      <w:tr w14:paraId="73D93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E0B8D7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产品质量部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C6CE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1,200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513360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1,200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D128A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w:t>
            </w:r>
          </w:p>
        </w:tc>
      </w:tr>
      <w:tr w14:paraId="69ADD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026EC3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综合部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8381B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BE9D9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500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A85AA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w:t>
            </w:r>
          </w:p>
        </w:tc>
      </w:tr>
      <w:tr w14:paraId="2A7DA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3882D6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sz w:val="21"/>
                <w:szCs w:val="21"/>
                <w:lang w:val="en-US" w:eastAsia="zh-CN"/>
              </w:rPr>
            </w:pPr>
            <w:r>
              <w:rPr>
                <w:rFonts w:hint="eastAsia"/>
                <w:sz w:val="21"/>
                <w:szCs w:val="21"/>
                <w:lang w:val="en-US" w:eastAsia="zh-CN"/>
              </w:rPr>
              <w:t>备件库</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817EB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500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2CE44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500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4D00D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100%</w:t>
            </w:r>
          </w:p>
        </w:tc>
      </w:tr>
      <w:tr w14:paraId="510B0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52ACBA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合计</w:t>
            </w:r>
          </w:p>
        </w:tc>
        <w:tc>
          <w:tcPr>
            <w:tcW w:w="2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DF8CDD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21,700</w:t>
            </w:r>
          </w:p>
        </w:tc>
        <w:tc>
          <w:tcPr>
            <w:tcW w:w="2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2121AA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21,500</w:t>
            </w:r>
          </w:p>
        </w:tc>
        <w:tc>
          <w:tcPr>
            <w:tcW w:w="131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685DF8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99.1%</w:t>
            </w:r>
          </w:p>
        </w:tc>
      </w:tr>
    </w:tbl>
    <w:p w14:paraId="6403E08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bookmarkStart w:id="46" w:name="heading_16"/>
      <w:r>
        <w:rPr>
          <w:rFonts w:hint="eastAsia"/>
          <w:lang w:val="en-US" w:eastAsia="zh-CN"/>
        </w:rPr>
        <w:t>培训费用使用21500元，剩余费用将继续用于下一年度人员管理计划。</w:t>
      </w:r>
    </w:p>
    <w:p w14:paraId="0D38DE91">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25121"/>
      <w:bookmarkStart w:id="48" w:name="_Toc25527"/>
      <w:r>
        <w:t>培训效果评估</w:t>
      </w:r>
      <w:bookmarkEnd w:id="46"/>
      <w:bookmarkEnd w:id="47"/>
      <w:bookmarkEnd w:id="48"/>
    </w:p>
    <w:p w14:paraId="143F94E8">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所有培训均完成效果评估</w:t>
      </w:r>
      <w:r>
        <w:rPr>
          <w:rFonts w:hint="eastAsia"/>
          <w:lang w:eastAsia="zh-CN"/>
        </w:rPr>
        <w:t>。</w:t>
      </w:r>
    </w:p>
    <w:p w14:paraId="6BDBC852">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培训后考核通过率100%</w:t>
      </w:r>
    </w:p>
    <w:p w14:paraId="7B448998">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参训人员反馈培训内容实用，对工作有指导作用</w:t>
      </w:r>
    </w:p>
    <w:p w14:paraId="1966C05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9034"/>
      <w:bookmarkStart w:id="50" w:name="_Toc14987"/>
      <w:r>
        <w:rPr>
          <w:rFonts w:hint="eastAsia"/>
          <w:lang w:val="en-US" w:eastAsia="zh-CN"/>
        </w:rPr>
        <w:t>关键岗位备份计划执行情况</w:t>
      </w:r>
      <w:bookmarkEnd w:id="49"/>
      <w:bookmarkEnd w:id="50"/>
    </w:p>
    <w:p w14:paraId="305D31EE">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7086"/>
      <w:bookmarkStart w:id="52" w:name="_Toc4442"/>
      <w:r>
        <w:rPr>
          <w:rFonts w:hint="eastAsia"/>
          <w:lang w:val="en-US" w:eastAsia="zh-CN"/>
        </w:rPr>
        <w:t>备份完成情况</w:t>
      </w:r>
      <w:bookmarkEnd w:id="51"/>
      <w:bookmarkEnd w:id="52"/>
    </w:p>
    <w:p w14:paraId="06EB0AE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4569"/>
      <w:bookmarkStart w:id="54" w:name="_Toc2305"/>
      <w:r>
        <w:rPr>
          <w:rFonts w:hint="default"/>
          <w:lang w:val="en-US" w:eastAsia="zh-CN"/>
        </w:rPr>
        <w:t xml:space="preserve"> </w:t>
      </w:r>
      <w:r>
        <w:t>2025年度人员</w:t>
      </w:r>
      <w:r>
        <w:rPr>
          <w:rFonts w:hint="eastAsia"/>
          <w:lang w:val="en-US" w:eastAsia="zh-CN"/>
        </w:rPr>
        <w:t>备份</w:t>
      </w:r>
      <w:r>
        <w:t>计划</w:t>
      </w:r>
      <w:r>
        <w:rPr>
          <w:rFonts w:hint="eastAsia"/>
          <w:lang w:val="en-US" w:eastAsia="zh-CN"/>
        </w:rPr>
        <w:t>完成情况</w:t>
      </w:r>
      <w:bookmarkEnd w:id="53"/>
      <w:bookmarkEnd w:id="54"/>
    </w:p>
    <w:tbl>
      <w:tblPr>
        <w:tblStyle w:val="23"/>
        <w:tblW w:w="85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84"/>
        <w:gridCol w:w="1514"/>
        <w:gridCol w:w="1514"/>
        <w:gridCol w:w="965"/>
        <w:gridCol w:w="1748"/>
        <w:gridCol w:w="1519"/>
      </w:tblGrid>
      <w:tr w14:paraId="739D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28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C4D876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部门</w:t>
            </w:r>
          </w:p>
        </w:tc>
        <w:tc>
          <w:tcPr>
            <w:tcW w:w="151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E6A839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A岗位</w:t>
            </w:r>
          </w:p>
        </w:tc>
        <w:tc>
          <w:tcPr>
            <w:tcW w:w="151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2E56D7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b/>
                <w:lang w:eastAsia="zh-CN"/>
              </w:rPr>
            </w:pPr>
            <w:r>
              <w:rPr>
                <w:rFonts w:hint="eastAsia"/>
                <w:b/>
                <w:lang w:val="en-US" w:eastAsia="zh-CN"/>
              </w:rPr>
              <w:t>B岗</w:t>
            </w:r>
          </w:p>
        </w:tc>
        <w:tc>
          <w:tcPr>
            <w:tcW w:w="96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84F31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备份要求</w:t>
            </w:r>
          </w:p>
        </w:tc>
        <w:tc>
          <w:tcPr>
            <w:tcW w:w="174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2011AC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51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AB6BD2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状态</w:t>
            </w:r>
          </w:p>
        </w:tc>
      </w:tr>
      <w:tr w14:paraId="74C9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6EED8E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E1AE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70B96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运维项目经理</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3E6B2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B921A5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w:t>
            </w:r>
            <w:r>
              <w:rPr>
                <w:rFonts w:hint="eastAsia"/>
                <w:lang w:val="en-US" w:eastAsia="zh-CN"/>
              </w:rPr>
              <w:t>3</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CB4350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完成</w:t>
            </w:r>
          </w:p>
        </w:tc>
      </w:tr>
      <w:tr w14:paraId="29F58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A68BD7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3E000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B0510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研发工程师</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433A6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10E150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w:t>
            </w:r>
            <w:r>
              <w:rPr>
                <w:rFonts w:hint="eastAsia"/>
                <w:lang w:val="en-US" w:eastAsia="zh-CN"/>
              </w:rPr>
              <w:t>4</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4229BA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0B4DB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CF6CF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B246A5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产品质量部经理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DF83E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产品质量部专员</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B4E86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3FC5F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w:t>
            </w:r>
            <w:r>
              <w:rPr>
                <w:rFonts w:hint="eastAsia"/>
                <w:lang w:val="en-US" w:eastAsia="zh-CN"/>
              </w:rPr>
              <w:t>9</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2E5467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109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6E1A9D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综合部</w:t>
            </w:r>
          </w:p>
        </w:tc>
        <w:tc>
          <w:tcPr>
            <w:tcW w:w="151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33CF51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综合部经理</w:t>
            </w:r>
          </w:p>
        </w:tc>
        <w:tc>
          <w:tcPr>
            <w:tcW w:w="151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DF2ED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人事专员</w:t>
            </w:r>
          </w:p>
        </w:tc>
        <w:tc>
          <w:tcPr>
            <w:tcW w:w="96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8EE29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CFE394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w:t>
            </w:r>
            <w:r>
              <w:rPr>
                <w:rFonts w:hint="eastAsia"/>
                <w:lang w:val="en-US" w:eastAsia="zh-CN"/>
              </w:rPr>
              <w:t>10</w:t>
            </w:r>
            <w:r>
              <w:t>月</w:t>
            </w:r>
          </w:p>
        </w:tc>
        <w:tc>
          <w:tcPr>
            <w:tcW w:w="151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FACC7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bl>
    <w:p w14:paraId="0F7CA98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7A27F99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所有岗位均完成备份。</w:t>
      </w:r>
    </w:p>
    <w:p w14:paraId="047566F8">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8702"/>
      <w:bookmarkStart w:id="56" w:name="_Toc17400"/>
      <w:r>
        <w:rPr>
          <w:rFonts w:hint="eastAsia"/>
          <w:lang w:val="en-US" w:eastAsia="zh-CN"/>
        </w:rPr>
        <w:t>备份人员能力达标情况</w:t>
      </w:r>
      <w:bookmarkEnd w:id="55"/>
      <w:bookmarkEnd w:id="56"/>
    </w:p>
    <w:p w14:paraId="4D06D58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本年度备份人员能力达标率达到100%，圆满完成年度目标。所有内部固定储备人员均已完成能力验证，验证内容包括岗位技能掌握程度、应急响应流程熟悉度以及独立顶岗能力，验证结果全部合格。外部不固定储备人员信息已全部录入《外部人才储备台账》，并建立了定期联系机制，确保储备信息的及时更新和有效性。对于已通过能力验证的备份人员，已纳入公司关键岗位人才库，作为岗位空缺时的优先补充对象。</w:t>
      </w:r>
    </w:p>
    <w:p w14:paraId="7C7DCEF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0776"/>
      <w:bookmarkStart w:id="58" w:name="_Toc16746"/>
      <w:r>
        <w:rPr>
          <w:rFonts w:hint="eastAsia"/>
          <w:lang w:val="en-US" w:eastAsia="zh-CN"/>
        </w:rPr>
        <w:t>人员绩效考核执行情况</w:t>
      </w:r>
      <w:bookmarkEnd w:id="57"/>
      <w:bookmarkEnd w:id="58"/>
    </w:p>
    <w:p w14:paraId="53F037EF">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3432"/>
      <w:bookmarkStart w:id="60" w:name="_Toc6623"/>
      <w:r>
        <w:rPr>
          <w:rFonts w:hint="eastAsia"/>
          <w:lang w:val="en-US" w:eastAsia="zh-CN"/>
        </w:rPr>
        <w:t>考核完成情况</w:t>
      </w:r>
      <w:bookmarkEnd w:id="59"/>
      <w:bookmarkEnd w:id="60"/>
    </w:p>
    <w:p w14:paraId="40E207A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61" w:name="_Toc14524"/>
      <w:bookmarkStart w:id="62" w:name="_Toc24654"/>
      <w:r>
        <w:rPr>
          <w:rFonts w:hint="default"/>
          <w:lang w:val="en-US" w:eastAsia="zh-CN"/>
        </w:rPr>
        <w:t xml:space="preserve"> </w:t>
      </w:r>
      <w:r>
        <w:t>2025年度人员</w:t>
      </w:r>
      <w:r>
        <w:rPr>
          <w:rFonts w:hint="eastAsia"/>
          <w:lang w:val="en-US" w:eastAsia="zh-CN"/>
        </w:rPr>
        <w:t>绩效考核</w:t>
      </w:r>
      <w:r>
        <w:t>计划</w:t>
      </w:r>
      <w:r>
        <w:rPr>
          <w:rFonts w:hint="eastAsia"/>
          <w:lang w:val="en-US" w:eastAsia="zh-CN"/>
        </w:rPr>
        <w:t>完成情况</w:t>
      </w:r>
      <w:bookmarkEnd w:id="61"/>
      <w:bookmarkEnd w:id="62"/>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21"/>
        <w:gridCol w:w="1865"/>
        <w:gridCol w:w="1865"/>
        <w:gridCol w:w="2125"/>
        <w:gridCol w:w="1346"/>
      </w:tblGrid>
      <w:tr w14:paraId="282E1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32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6FF16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考核类型</w:t>
            </w:r>
          </w:p>
        </w:tc>
        <w:tc>
          <w:tcPr>
            <w:tcW w:w="186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88B38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考核周期</w:t>
            </w:r>
          </w:p>
        </w:tc>
        <w:tc>
          <w:tcPr>
            <w:tcW w:w="186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5E40D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应考核人次</w:t>
            </w:r>
          </w:p>
        </w:tc>
        <w:tc>
          <w:tcPr>
            <w:tcW w:w="212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25A5C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实际考核人次</w:t>
            </w:r>
          </w:p>
        </w:tc>
        <w:tc>
          <w:tcPr>
            <w:tcW w:w="134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CE99B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完成率</w:t>
            </w:r>
          </w:p>
        </w:tc>
      </w:tr>
      <w:tr w14:paraId="79385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AFA45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49A5B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5992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96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E6788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96人次</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00350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55419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4C548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37D9E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10BB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32人次</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EB2A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32人次</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D4378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55BB9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F4CBF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4658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607E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101E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095E3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67F0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36692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合计</w:t>
            </w:r>
          </w:p>
        </w:tc>
        <w:tc>
          <w:tcPr>
            <w:tcW w:w="186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3A508E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186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7E896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lang w:val="en-US"/>
              </w:rPr>
            </w:pPr>
            <w:r>
              <w:rPr>
                <w:rStyle w:val="26"/>
                <w:rFonts w:hint="eastAsia" w:ascii="Segoe UI" w:hAnsi="Segoe UI" w:eastAsia="Segoe UI" w:cs="Segoe UI"/>
                <w:b/>
                <w:bCs/>
                <w:i w:val="0"/>
                <w:iCs w:val="0"/>
                <w:caps w:val="0"/>
                <w:snapToGrid w:val="0"/>
                <w:color w:val="000000"/>
                <w:spacing w:val="0"/>
                <w:kern w:val="0"/>
                <w:sz w:val="22"/>
                <w:szCs w:val="22"/>
                <w:lang w:val="en-US" w:eastAsia="zh-CN"/>
              </w:rPr>
              <w:t>136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212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4B6AF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lang w:val="en-US"/>
              </w:rPr>
            </w:pPr>
            <w:r>
              <w:rPr>
                <w:rStyle w:val="26"/>
                <w:rFonts w:hint="eastAsia" w:ascii="Segoe UI" w:hAnsi="Segoe UI" w:eastAsia="Segoe UI" w:cs="Segoe UI"/>
                <w:b/>
                <w:bCs/>
                <w:i w:val="0"/>
                <w:iCs w:val="0"/>
                <w:caps w:val="0"/>
                <w:snapToGrid w:val="0"/>
                <w:color w:val="000000"/>
                <w:spacing w:val="0"/>
                <w:kern w:val="0"/>
                <w:sz w:val="22"/>
                <w:szCs w:val="22"/>
                <w:lang w:val="en-US" w:eastAsia="zh-CN"/>
              </w:rPr>
              <w:t>136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34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5012A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100%</w:t>
            </w:r>
          </w:p>
        </w:tc>
      </w:tr>
    </w:tbl>
    <w:p w14:paraId="1672F6D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11280"/>
      <w:bookmarkStart w:id="64" w:name="_Toc2882"/>
      <w:r>
        <w:rPr>
          <w:rFonts w:hint="eastAsia"/>
          <w:lang w:val="en-US" w:eastAsia="zh-CN"/>
        </w:rPr>
        <w:t>绩效考核及时完成率</w:t>
      </w:r>
      <w:bookmarkEnd w:id="63"/>
      <w:bookmarkEnd w:id="64"/>
    </w:p>
    <w:p w14:paraId="0EFA244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本年度绩效考核及时完成率达到100%，圆满完成年度目标。全年应开展月度考核12次、季度考核4次、年度考核1次，共计</w:t>
      </w:r>
      <w:r>
        <w:rPr>
          <w:rFonts w:hint="eastAsia" w:ascii="Segoe UI" w:hAnsi="Segoe UI" w:eastAsia="宋体" w:cs="Segoe UI"/>
          <w:i w:val="0"/>
          <w:iCs w:val="0"/>
          <w:caps w:val="0"/>
          <w:color w:val="0F1115"/>
          <w:spacing w:val="0"/>
          <w:sz w:val="24"/>
          <w:szCs w:val="24"/>
          <w:shd w:val="clear" w:color="auto" w:fill="FFFFFF"/>
          <w:lang w:val="en-US" w:eastAsia="zh-CN"/>
        </w:rPr>
        <w:t>136</w:t>
      </w:r>
      <w:r>
        <w:rPr>
          <w:rFonts w:ascii="Segoe UI" w:hAnsi="Segoe UI" w:eastAsia="Segoe UI" w:cs="Segoe UI"/>
          <w:i w:val="0"/>
          <w:iCs w:val="0"/>
          <w:caps w:val="0"/>
          <w:color w:val="0F1115"/>
          <w:spacing w:val="0"/>
          <w:sz w:val="24"/>
          <w:szCs w:val="24"/>
          <w:shd w:val="clear" w:color="auto" w:fill="FFFFFF"/>
        </w:rPr>
        <w:t>人次考核，全部在规定时间内完成。综合部每月5日前完成上月度考核材料的收集、汇总和结果发布，未出现延期或漏报情况。对于考核过程中出现的材料提交不及时等问题，综合部及时进行通报提醒，并纳入部门负责人月度绩效考核，有效保障了考核工作的规范性和时效性。员工对考核结果的申诉均在规定时限内完成复核并反馈，申诉处理满意度100%。</w:t>
      </w:r>
    </w:p>
    <w:p w14:paraId="0ED4419A">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18387"/>
      <w:bookmarkStart w:id="66" w:name="_Toc14591"/>
      <w:r>
        <w:rPr>
          <w:rFonts w:hint="eastAsia"/>
          <w:lang w:val="en-US" w:eastAsia="zh-CN"/>
        </w:rPr>
        <w:t>考核结果分布</w:t>
      </w:r>
      <w:bookmarkEnd w:id="65"/>
      <w:bookmarkEnd w:id="66"/>
    </w:p>
    <w:p w14:paraId="58B86D5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67" w:name="_Toc17820"/>
      <w:bookmarkStart w:id="68" w:name="_Toc10196"/>
      <w:r>
        <w:rPr>
          <w:rFonts w:hint="default"/>
          <w:lang w:val="en-US" w:eastAsia="zh-CN"/>
        </w:rPr>
        <w:t xml:space="preserve"> </w:t>
      </w:r>
      <w:r>
        <w:t>2025年度人员</w:t>
      </w:r>
      <w:r>
        <w:rPr>
          <w:rFonts w:hint="eastAsia"/>
          <w:lang w:val="en-US" w:eastAsia="zh-CN"/>
        </w:rPr>
        <w:t>绩效考核人员占比</w:t>
      </w:r>
      <w:bookmarkEnd w:id="67"/>
      <w:bookmarkEnd w:id="6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2"/>
        <w:gridCol w:w="2378"/>
        <w:gridCol w:w="2378"/>
        <w:gridCol w:w="1794"/>
      </w:tblGrid>
      <w:tr w14:paraId="48B04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7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29FB6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等级</w:t>
            </w:r>
          </w:p>
        </w:tc>
        <w:tc>
          <w:tcPr>
            <w:tcW w:w="237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FD76E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月度平均占比</w:t>
            </w:r>
          </w:p>
        </w:tc>
        <w:tc>
          <w:tcPr>
            <w:tcW w:w="237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194F7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季度平均占比</w:t>
            </w:r>
          </w:p>
        </w:tc>
        <w:tc>
          <w:tcPr>
            <w:tcW w:w="179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21509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年度占比</w:t>
            </w:r>
          </w:p>
        </w:tc>
      </w:tr>
      <w:tr w14:paraId="45622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B3C36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优秀（A级）</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6100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214D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w:t>
            </w:r>
          </w:p>
        </w:tc>
        <w:tc>
          <w:tcPr>
            <w:tcW w:w="1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3DEB6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25%</w:t>
            </w:r>
          </w:p>
        </w:tc>
      </w:tr>
      <w:tr w14:paraId="639B6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C5BD3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一般</w:t>
            </w:r>
            <w:r>
              <w:rPr>
                <w:rFonts w:hint="default" w:ascii="Segoe UI" w:hAnsi="Segoe UI" w:eastAsia="Segoe UI" w:cs="Segoe UI"/>
                <w:i w:val="0"/>
                <w:iCs w:val="0"/>
                <w:caps w:val="0"/>
                <w:snapToGrid w:val="0"/>
                <w:color w:val="000000"/>
                <w:spacing w:val="0"/>
                <w:kern w:val="0"/>
                <w:sz w:val="22"/>
                <w:szCs w:val="22"/>
                <w:lang w:val="en-US" w:eastAsia="zh-CN"/>
              </w:rPr>
              <w:t>（B级）</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6873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8</w:t>
            </w:r>
            <w:r>
              <w:rPr>
                <w:rFonts w:hint="default" w:ascii="Segoe UI" w:hAnsi="Segoe UI" w:eastAsia="Segoe UI" w:cs="Segoe UI"/>
                <w:i w:val="0"/>
                <w:iCs w:val="0"/>
                <w:caps w:val="0"/>
                <w:snapToGrid w:val="0"/>
                <w:color w:val="000000"/>
                <w:spacing w:val="0"/>
                <w:kern w:val="0"/>
                <w:sz w:val="22"/>
                <w:szCs w:val="22"/>
                <w:lang w:val="en-US" w:eastAsia="zh-CN"/>
              </w:rPr>
              <w:t>0%</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E3864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8</w:t>
            </w:r>
            <w:r>
              <w:rPr>
                <w:rFonts w:hint="default" w:ascii="Segoe UI" w:hAnsi="Segoe UI" w:eastAsia="Segoe UI" w:cs="Segoe UI"/>
                <w:i w:val="0"/>
                <w:iCs w:val="0"/>
                <w:caps w:val="0"/>
                <w:snapToGrid w:val="0"/>
                <w:color w:val="000000"/>
                <w:spacing w:val="0"/>
                <w:kern w:val="0"/>
                <w:sz w:val="22"/>
                <w:szCs w:val="22"/>
                <w:lang w:val="en-US" w:eastAsia="zh-CN"/>
              </w:rPr>
              <w:t>0%</w:t>
            </w:r>
          </w:p>
        </w:tc>
        <w:tc>
          <w:tcPr>
            <w:tcW w:w="1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9A946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7</w:t>
            </w:r>
            <w:r>
              <w:rPr>
                <w:rFonts w:hint="default" w:ascii="Segoe UI" w:hAnsi="Segoe UI" w:eastAsia="Segoe UI" w:cs="Segoe UI"/>
                <w:i w:val="0"/>
                <w:iCs w:val="0"/>
                <w:caps w:val="0"/>
                <w:snapToGrid w:val="0"/>
                <w:color w:val="000000"/>
                <w:spacing w:val="0"/>
                <w:kern w:val="0"/>
                <w:sz w:val="22"/>
                <w:szCs w:val="22"/>
                <w:lang w:val="en-US" w:eastAsia="zh-CN"/>
              </w:rPr>
              <w:t>5%</w:t>
            </w:r>
          </w:p>
        </w:tc>
      </w:tr>
      <w:tr w14:paraId="1A4A2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605A6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较差</w:t>
            </w:r>
            <w:r>
              <w:rPr>
                <w:rFonts w:hint="default" w:ascii="Segoe UI" w:hAnsi="Segoe UI" w:eastAsia="Segoe UI" w:cs="Segoe UI"/>
                <w:i w:val="0"/>
                <w:iCs w:val="0"/>
                <w:caps w:val="0"/>
                <w:snapToGrid w:val="0"/>
                <w:color w:val="000000"/>
                <w:spacing w:val="0"/>
                <w:kern w:val="0"/>
                <w:sz w:val="22"/>
                <w:szCs w:val="22"/>
                <w:lang w:val="en-US" w:eastAsia="zh-CN"/>
              </w:rPr>
              <w:t>（C级）</w:t>
            </w:r>
          </w:p>
        </w:tc>
        <w:tc>
          <w:tcPr>
            <w:tcW w:w="237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2886C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w:t>
            </w:r>
          </w:p>
        </w:tc>
        <w:tc>
          <w:tcPr>
            <w:tcW w:w="237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E9E41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w:t>
            </w:r>
          </w:p>
        </w:tc>
        <w:tc>
          <w:tcPr>
            <w:tcW w:w="179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90EC0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w:t>
            </w:r>
          </w:p>
        </w:tc>
      </w:tr>
    </w:tbl>
    <w:p w14:paraId="60CA3276">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9" w:name="_Toc17907"/>
      <w:bookmarkStart w:id="70" w:name="_Toc17694"/>
      <w:r>
        <w:rPr>
          <w:rFonts w:hint="eastAsia"/>
          <w:lang w:val="en-US" w:eastAsia="zh-CN"/>
        </w:rPr>
        <w:t>人员技能评定执行情况</w:t>
      </w:r>
      <w:bookmarkEnd w:id="69"/>
      <w:bookmarkEnd w:id="70"/>
    </w:p>
    <w:p w14:paraId="4FBD210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1" w:name="_Toc28048"/>
      <w:bookmarkStart w:id="72" w:name="_Toc20391"/>
      <w:r>
        <w:rPr>
          <w:rFonts w:hint="eastAsia"/>
          <w:lang w:val="en-US" w:eastAsia="zh-CN"/>
        </w:rPr>
        <w:t>评定完成情况</w:t>
      </w:r>
      <w:bookmarkEnd w:id="71"/>
      <w:bookmarkEnd w:id="72"/>
    </w:p>
    <w:p w14:paraId="19260EA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73" w:name="_Toc14922"/>
      <w:bookmarkStart w:id="74" w:name="_Toc5653"/>
      <w:r>
        <w:rPr>
          <w:rFonts w:hint="default"/>
          <w:lang w:val="en-US" w:eastAsia="zh-CN"/>
        </w:rPr>
        <w:t xml:space="preserve"> </w:t>
      </w:r>
      <w:r>
        <w:t>2025年度人员</w:t>
      </w:r>
      <w:r>
        <w:rPr>
          <w:rFonts w:hint="eastAsia"/>
          <w:lang w:val="en-US" w:eastAsia="zh-CN"/>
        </w:rPr>
        <w:t>技能评定完成情况</w:t>
      </w:r>
      <w:bookmarkEnd w:id="73"/>
      <w:bookmarkEnd w:id="74"/>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2"/>
        <w:gridCol w:w="1525"/>
        <w:gridCol w:w="1319"/>
        <w:gridCol w:w="1730"/>
        <w:gridCol w:w="1129"/>
        <w:gridCol w:w="1117"/>
      </w:tblGrid>
      <w:tr w14:paraId="0547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0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2ADB2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评定类型</w:t>
            </w:r>
          </w:p>
        </w:tc>
        <w:tc>
          <w:tcPr>
            <w:tcW w:w="152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85BF3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评定周期</w:t>
            </w:r>
          </w:p>
        </w:tc>
        <w:tc>
          <w:tcPr>
            <w:tcW w:w="131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38B0E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应评人数</w:t>
            </w:r>
          </w:p>
        </w:tc>
        <w:tc>
          <w:tcPr>
            <w:tcW w:w="173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63706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实际评定人数</w:t>
            </w:r>
          </w:p>
        </w:tc>
        <w:tc>
          <w:tcPr>
            <w:tcW w:w="112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06B6B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覆盖率</w:t>
            </w:r>
          </w:p>
        </w:tc>
        <w:tc>
          <w:tcPr>
            <w:tcW w:w="111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0E46C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完成率</w:t>
            </w:r>
          </w:p>
        </w:tc>
      </w:tr>
      <w:tr w14:paraId="5C6A5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7F5D9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半年度技能评定</w:t>
            </w:r>
          </w:p>
        </w:tc>
        <w:tc>
          <w:tcPr>
            <w:tcW w:w="15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E2DAF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每半年一次</w:t>
            </w:r>
          </w:p>
        </w:tc>
        <w:tc>
          <w:tcPr>
            <w:tcW w:w="131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6FEC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snapToGrid w:val="0"/>
                <w:color w:val="000000"/>
                <w:spacing w:val="0"/>
                <w:kern w:val="0"/>
                <w:sz w:val="22"/>
                <w:szCs w:val="22"/>
                <w:lang w:val="en-US" w:eastAsia="zh-CN"/>
              </w:rPr>
              <w:t>16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7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683B4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snapToGrid w:val="0"/>
                <w:color w:val="000000"/>
                <w:spacing w:val="0"/>
                <w:kern w:val="0"/>
                <w:sz w:val="22"/>
                <w:szCs w:val="22"/>
                <w:lang w:val="en-US" w:eastAsia="zh-CN"/>
              </w:rPr>
              <w:t>16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12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2BDA6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A9BCA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4F12F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4028D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入职技能评定</w:t>
            </w:r>
          </w:p>
        </w:tc>
        <w:tc>
          <w:tcPr>
            <w:tcW w:w="15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790A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入职时</w:t>
            </w:r>
          </w:p>
        </w:tc>
        <w:tc>
          <w:tcPr>
            <w:tcW w:w="131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47667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w:t>
            </w:r>
          </w:p>
        </w:tc>
        <w:tc>
          <w:tcPr>
            <w:tcW w:w="17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F4C7A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w:t>
            </w:r>
          </w:p>
        </w:tc>
        <w:tc>
          <w:tcPr>
            <w:tcW w:w="112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1665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619F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0006C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D8D84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晋升技能评定</w:t>
            </w:r>
          </w:p>
        </w:tc>
        <w:tc>
          <w:tcPr>
            <w:tcW w:w="152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3A371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晋升前</w:t>
            </w:r>
          </w:p>
        </w:tc>
        <w:tc>
          <w:tcPr>
            <w:tcW w:w="131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EC1D6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173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2B738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112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41664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7A7F6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bl>
    <w:p w14:paraId="4E954FF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5" w:name="_Toc3150"/>
      <w:bookmarkStart w:id="76" w:name="_Toc6253"/>
      <w:r>
        <w:rPr>
          <w:rFonts w:hint="eastAsia"/>
          <w:lang w:val="en-US" w:eastAsia="zh-CN"/>
        </w:rPr>
        <w:t>技能评定结果</w:t>
      </w:r>
      <w:bookmarkEnd w:id="75"/>
      <w:bookmarkEnd w:id="76"/>
    </w:p>
    <w:p w14:paraId="13FBFDD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77" w:name="_Toc25547"/>
      <w:bookmarkStart w:id="78" w:name="_Toc7762"/>
      <w:r>
        <w:rPr>
          <w:rFonts w:hint="default"/>
          <w:lang w:val="en-US" w:eastAsia="zh-CN"/>
        </w:rPr>
        <w:t xml:space="preserve"> </w:t>
      </w:r>
      <w:r>
        <w:t>2025年度人员</w:t>
      </w:r>
      <w:r>
        <w:rPr>
          <w:rFonts w:hint="eastAsia"/>
          <w:lang w:val="en-US" w:eastAsia="zh-CN"/>
        </w:rPr>
        <w:t>技能评定结果</w:t>
      </w:r>
      <w:bookmarkEnd w:id="77"/>
      <w:bookmarkEnd w:id="7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1"/>
        <w:gridCol w:w="1892"/>
        <w:gridCol w:w="1892"/>
        <w:gridCol w:w="2257"/>
      </w:tblGrid>
      <w:tr w14:paraId="1D3C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48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579C5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技能等级</w:t>
            </w:r>
          </w:p>
        </w:tc>
        <w:tc>
          <w:tcPr>
            <w:tcW w:w="18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871CB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上半年</w:t>
            </w:r>
          </w:p>
        </w:tc>
        <w:tc>
          <w:tcPr>
            <w:tcW w:w="18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2D0B8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下半年</w:t>
            </w:r>
          </w:p>
        </w:tc>
        <w:tc>
          <w:tcPr>
            <w:tcW w:w="225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30DFF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变化趋势</w:t>
            </w:r>
          </w:p>
        </w:tc>
      </w:tr>
      <w:tr w14:paraId="2ED4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F2B2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A级（专家）</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0A012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CB5A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2人</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29693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 上升</w:t>
            </w:r>
          </w:p>
        </w:tc>
      </w:tr>
      <w:tr w14:paraId="5D328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F9D99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B级（高级）</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F92F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4</w:t>
            </w:r>
            <w:r>
              <w:rPr>
                <w:rFonts w:hint="default" w:ascii="Segoe UI" w:hAnsi="Segoe UI" w:eastAsia="Segoe UI" w:cs="Segoe UI"/>
                <w:i w:val="0"/>
                <w:iCs w:val="0"/>
                <w:caps w:val="0"/>
                <w:snapToGrid w:val="0"/>
                <w:color w:val="000000"/>
                <w:spacing w:val="0"/>
                <w:kern w:val="0"/>
                <w:sz w:val="22"/>
                <w:szCs w:val="22"/>
                <w:lang w:val="en-US" w:eastAsia="zh-CN"/>
              </w:rPr>
              <w:t>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DE8A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4人</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42EC8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不变</w:t>
            </w:r>
          </w:p>
        </w:tc>
      </w:tr>
      <w:tr w14:paraId="13379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ED3FF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C级（中级）</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DDDCF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F63F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2人</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56204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 下降</w:t>
            </w:r>
          </w:p>
        </w:tc>
      </w:tr>
      <w:tr w14:paraId="4BD70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E7803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D级（初级）</w:t>
            </w:r>
          </w:p>
        </w:tc>
        <w:tc>
          <w:tcPr>
            <w:tcW w:w="18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DE192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0</w:t>
            </w:r>
            <w:r>
              <w:rPr>
                <w:rFonts w:hint="default" w:ascii="Segoe UI" w:hAnsi="Segoe UI" w:eastAsia="Segoe UI" w:cs="Segoe UI"/>
                <w:i w:val="0"/>
                <w:iCs w:val="0"/>
                <w:caps w:val="0"/>
                <w:snapToGrid w:val="0"/>
                <w:color w:val="000000"/>
                <w:spacing w:val="0"/>
                <w:kern w:val="0"/>
                <w:sz w:val="22"/>
                <w:szCs w:val="22"/>
                <w:lang w:val="en-US" w:eastAsia="zh-CN"/>
              </w:rPr>
              <w:t>人</w:t>
            </w:r>
          </w:p>
        </w:tc>
        <w:tc>
          <w:tcPr>
            <w:tcW w:w="18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DC221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0人</w:t>
            </w:r>
          </w:p>
        </w:tc>
        <w:tc>
          <w:tcPr>
            <w:tcW w:w="225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0F845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宋体" w:cs="Segoe UI"/>
                <w:i w:val="0"/>
                <w:iCs w:val="0"/>
                <w:caps w:val="0"/>
                <w:color w:val="0F1115"/>
                <w:spacing w:val="0"/>
                <w:sz w:val="22"/>
                <w:szCs w:val="22"/>
                <w:lang w:val="en-US" w:eastAsia="zh-CN"/>
              </w:rPr>
              <w:t>不变</w:t>
            </w:r>
          </w:p>
        </w:tc>
      </w:tr>
    </w:tbl>
    <w:p w14:paraId="045507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14:paraId="551E15D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9" w:name="_Toc18121"/>
      <w:bookmarkStart w:id="80" w:name="_Toc23462"/>
      <w:r>
        <w:rPr>
          <w:rFonts w:hint="eastAsia"/>
          <w:lang w:val="en-US" w:eastAsia="zh-CN"/>
        </w:rPr>
        <w:t>技能评定成效</w:t>
      </w:r>
      <w:bookmarkEnd w:id="79"/>
      <w:bookmarkEnd w:id="80"/>
    </w:p>
    <w:p w14:paraId="3A880737">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技能评价覆盖率100%，达到目标值</w:t>
      </w:r>
    </w:p>
    <w:p w14:paraId="0020D6F6">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高等级人员（A+B级）占比从</w:t>
      </w:r>
      <w:r>
        <w:rPr>
          <w:rFonts w:hint="eastAsia"/>
          <w:lang w:val="en-US" w:eastAsia="zh-CN"/>
        </w:rPr>
        <w:t>62.5</w:t>
      </w:r>
      <w:r>
        <w:rPr>
          <w:rFonts w:hint="default"/>
          <w:lang w:val="en-US" w:eastAsia="zh-CN"/>
        </w:rPr>
        <w:t>%提升至75%</w:t>
      </w:r>
    </w:p>
    <w:p w14:paraId="7E946D9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1" w:name="_Toc3004"/>
      <w:bookmarkStart w:id="82" w:name="_Toc30323"/>
      <w:r>
        <w:rPr>
          <w:rFonts w:hint="eastAsia"/>
          <w:lang w:val="en-US" w:eastAsia="zh-CN"/>
        </w:rPr>
        <w:t>总结与下年度展望</w:t>
      </w:r>
      <w:bookmarkEnd w:id="81"/>
      <w:bookmarkEnd w:id="82"/>
    </w:p>
    <w:p w14:paraId="2241B51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3" w:name="_Toc32424"/>
      <w:bookmarkStart w:id="84" w:name="_Toc30930"/>
      <w:r>
        <w:rPr>
          <w:rFonts w:hint="eastAsia"/>
          <w:lang w:val="en-US" w:eastAsia="zh-CN"/>
        </w:rPr>
        <w:t>年度总体评价</w:t>
      </w:r>
      <w:bookmarkEnd w:id="83"/>
      <w:bookmarkEnd w:id="84"/>
    </w:p>
    <w:p w14:paraId="5FFEF44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人员招聘、储备、培训、备份指标全都完成，绩效考核及技能评价指标也达到KPI要求。保证了运维工作的平稳进行。但是在人员招聘与储备方面存在的问题，综合部应当在下一年度重点跟踪。</w:t>
      </w:r>
    </w:p>
    <w:p w14:paraId="06D9E84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5" w:name="_Toc2831"/>
      <w:bookmarkStart w:id="86" w:name="_Toc29073"/>
      <w:r>
        <w:rPr>
          <w:rFonts w:hint="eastAsia"/>
          <w:lang w:val="en-US" w:eastAsia="zh-CN"/>
        </w:rPr>
        <w:t>年度工作亮点</w:t>
      </w:r>
      <w:bookmarkEnd w:id="85"/>
      <w:bookmarkEnd w:id="86"/>
    </w:p>
    <w:p w14:paraId="1EE37BB5">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招聘工作：全年招聘计划100%完成，所有岗位按时到岗</w:t>
      </w:r>
    </w:p>
    <w:p w14:paraId="066C56BC">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培训工作：13项培训全部按计划完成，培训预算执行率99.1%</w:t>
      </w:r>
    </w:p>
    <w:p w14:paraId="04881A9E">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备份机制：关键岗位备份机制全面建立，能力达标率100%</w:t>
      </w:r>
    </w:p>
    <w:p w14:paraId="1DD90C17">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技能提升：高等级人员占比从62.5%提升至75%，技能结构持续优化</w:t>
      </w:r>
    </w:p>
    <w:p w14:paraId="5B4B0644">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绩效考核：全年136人次考核全部按时完成，无延期</w:t>
      </w:r>
    </w:p>
    <w:p w14:paraId="595BC9CD">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7" w:name="_Toc11250"/>
      <w:bookmarkStart w:id="88" w:name="_Toc10822"/>
      <w:r>
        <w:rPr>
          <w:rFonts w:hint="eastAsia"/>
          <w:lang w:val="en-US" w:eastAsia="zh-CN"/>
        </w:rPr>
        <w:t>下年度工作重点</w:t>
      </w:r>
      <w:bookmarkEnd w:id="87"/>
      <w:bookmarkEnd w:id="88"/>
    </w:p>
    <w:p w14:paraId="04302EBC">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9" w:name="_Toc27152"/>
      <w:bookmarkStart w:id="90" w:name="_Toc17072"/>
      <w:r>
        <w:rPr>
          <w:rFonts w:hint="default"/>
          <w:lang w:val="en-US" w:eastAsia="zh-CN"/>
        </w:rPr>
        <w:t xml:space="preserve"> </w:t>
      </w:r>
      <w:r>
        <w:t>202</w:t>
      </w:r>
      <w:r>
        <w:rPr>
          <w:rFonts w:hint="eastAsia"/>
          <w:lang w:val="en-US" w:eastAsia="zh-CN"/>
        </w:rPr>
        <w:t>6年度工作重点</w:t>
      </w:r>
      <w:bookmarkEnd w:id="89"/>
      <w:bookmarkEnd w:id="90"/>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6"/>
        <w:gridCol w:w="2822"/>
        <w:gridCol w:w="3106"/>
        <w:gridCol w:w="1878"/>
      </w:tblGrid>
      <w:tr w14:paraId="05556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71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FACF2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282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E0ED2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工作重点</w:t>
            </w:r>
          </w:p>
        </w:tc>
        <w:tc>
          <w:tcPr>
            <w:tcW w:w="310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4DB3D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目标</w:t>
            </w:r>
          </w:p>
        </w:tc>
        <w:tc>
          <w:tcPr>
            <w:tcW w:w="187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CCFCA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责任人</w:t>
            </w:r>
          </w:p>
        </w:tc>
      </w:tr>
      <w:tr w14:paraId="2D80D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68DC0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6F5A9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优化招聘渠道</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B771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建立多元化人才库</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15648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综合部经理</w:t>
            </w:r>
          </w:p>
        </w:tc>
      </w:tr>
      <w:tr w14:paraId="07809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C8326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1EA77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加强储备人员实战培养</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259CB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每季度安排顶岗实习</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F69CB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r>
      <w:tr w14:paraId="4EC02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D6E4D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2E1C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开展进阶技术培训</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1C642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提升高级技术人员占比</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31066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r>
      <w:tr w14:paraId="77029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02982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1630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完善备份机制</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FD02B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实现关键岗位AB角全覆盖</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D52B6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综合部经理</w:t>
            </w:r>
          </w:p>
        </w:tc>
      </w:tr>
      <w:tr w14:paraId="13D93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6D8E3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w:t>
            </w:r>
          </w:p>
        </w:tc>
        <w:tc>
          <w:tcPr>
            <w:tcW w:w="282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062B6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优化绩效考核体系</w:t>
            </w:r>
          </w:p>
        </w:tc>
        <w:tc>
          <w:tcPr>
            <w:tcW w:w="310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AA316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提升考核精准度</w:t>
            </w:r>
          </w:p>
        </w:tc>
        <w:tc>
          <w:tcPr>
            <w:tcW w:w="187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BFB32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产品质量部经理</w:t>
            </w:r>
          </w:p>
        </w:tc>
      </w:tr>
    </w:tbl>
    <w:p w14:paraId="611001F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0CEB1FF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过程管理报告</w:t>
      </w:r>
    </w:p>
    <w:p w14:paraId="3FD834C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过程框架管理</w:t>
      </w:r>
    </w:p>
    <w:p w14:paraId="7D56FB1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2025年度，公司依据《运维服务过程框架管理制度》，建立了覆盖服务规划与设计、服务部署与实施、服务运营与管理、服务监控与改进四个核心阶段的运维服务过程框架，形成完整的PDCA闭环。</w:t>
      </w:r>
    </w:p>
    <w:p w14:paraId="2E53619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产品质量部于2025年12月组织年度过程框架评价，对各过程执行的符合性和有效性进行评估，形成《过程框架评价报告》。评价结果显示，各过程执行符合要求，过程框架运行有效。</w:t>
      </w:r>
    </w:p>
    <w:p w14:paraId="1E70728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w:t>
      </w:r>
    </w:p>
    <w:p w14:paraId="1CA481D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2025年度，公司依据《运维服务级别管理制度》，对运维服务级别进行协商、监控和报告。运维部经理于2025年12月组织年度SLA评审会议，对服务级别协议的执行情况进行全面评审，</w:t>
      </w:r>
      <w:r>
        <w:rPr>
          <w:rFonts w:hint="eastAsia"/>
          <w:lang w:val="en-US" w:eastAsia="zh-CN"/>
        </w:rPr>
        <w:t>2025年第一、二、三和四季度SLA达成率分别为95%、95%、100%、100%。</w:t>
      </w:r>
      <w:r>
        <w:rPr>
          <w:rFonts w:hint="default"/>
          <w:lang w:val="en-US" w:eastAsia="zh-CN"/>
        </w:rPr>
        <w:t>SLA执行情况良好，客户满意度达标。</w:t>
      </w:r>
    </w:p>
    <w:p w14:paraId="3F1F141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w:t>
      </w:r>
    </w:p>
    <w:p w14:paraId="3F91EE8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2025年度，公司依据《运维服务报告管理制度》，建立了标准化的服务报告管理机制。全年按时提交日常运维报告52份、服务级别报告12份、季度服务报告4份、年度服务报告1份、专项报告3份。</w:t>
      </w:r>
    </w:p>
    <w:p w14:paraId="4FC7C88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产品质量部每季度组织服务报告管理过程的评审，从及时性、准确性、完整性、可读性、分析深度等维度进行评估。全年服务报告质量良好，未出现数据错误或内容缺失情况。</w:t>
      </w:r>
      <w:r>
        <w:rPr>
          <w:rFonts w:hint="eastAsia"/>
          <w:lang w:val="en-US" w:eastAsia="zh-CN"/>
        </w:rPr>
        <w:t>跟踪服务报告KPI指标得出，服务报告交付及时率为100%，服务报告准确率为100%。</w:t>
      </w:r>
    </w:p>
    <w:p w14:paraId="7A93F20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w:t>
      </w:r>
    </w:p>
    <w:p w14:paraId="6A2F8AC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2025年度，公司依据《运维服务事件管理制度》，建立了标准化的服务事件管理流程。服务台作为事件统一受理窗口，全年7×24小时接收客户事件请求。</w:t>
      </w:r>
    </w:p>
    <w:p w14:paraId="48FDC2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全年受理事件共计32件，均为三级事件（一般事件），无一级、二级事件发生。事件分类统计如下：故障类18件、咨询类10件、服务请求4件</w:t>
      </w:r>
      <w:r>
        <w:rPr>
          <w:rFonts w:hint="eastAsia"/>
          <w:lang w:val="en-US" w:eastAsia="zh-CN"/>
        </w:rPr>
        <w:t>。跟踪事件KPI指标得出时间解决率为100%，一线解决率依次为75%、70%、100%、100%、90%、100%、95%、95%、100%、95%、95%、100%</w:t>
      </w:r>
      <w:r>
        <w:rPr>
          <w:rFonts w:hint="default"/>
          <w:lang w:val="en-US" w:eastAsia="zh-CN"/>
        </w:rPr>
        <w:t>。</w:t>
      </w:r>
    </w:p>
    <w:p w14:paraId="218F0BB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w:t>
      </w:r>
    </w:p>
    <w:p w14:paraId="0493AA4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2025年度，公司依据《运维服务问题管理制度》，建立问题管理流程，通过分析事件的根本原因，防止同类事件再次发生。全年共识别问题10个，全部完成分析和解决，问题解决率100%。</w:t>
      </w:r>
    </w:p>
    <w:p w14:paraId="5D46BF5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w:t>
      </w:r>
    </w:p>
    <w:p w14:paraId="3F993A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2025年度，公司依据《运维服务变更管理制度》，建立变更管理流程，对所有对运维服务环境有影响的变更进行管理和控制。全年发起变更15次，全部成功，变更成功率100%。</w:t>
      </w:r>
    </w:p>
    <w:p w14:paraId="4B63754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发布管理</w:t>
      </w:r>
    </w:p>
    <w:p w14:paraId="10E750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2025年度，公司依据《运维服务发布管理制度》，建立发布管理流程，确保软件和硬件的变更经过测试验证后有序发布。全年发布8次，全部成功，发布成功率100%。</w:t>
      </w:r>
    </w:p>
    <w:p w14:paraId="4943871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w:t>
      </w:r>
    </w:p>
    <w:p w14:paraId="3C8823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2025年度，公司依据《运维服务配置管理制度》，建立配置管理流程，通过配置管理数据库（CMDB）对配置项进行统一管理。全年完成年度配置审计1次，配置数据准确率和配置项覆盖率均达到100%。</w:t>
      </w:r>
    </w:p>
    <w:p w14:paraId="5185F1C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可用性和连续性管理</w:t>
      </w:r>
    </w:p>
    <w:p w14:paraId="27380E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2025年度，公司依据《服务可用性和连续性管理制度》，建立服务可用性和连续性管理流程。全年服务可用性达到100%，优于目标值99%；全年无计划外中断，服务异常中断次数为0次。</w:t>
      </w:r>
    </w:p>
    <w:p w14:paraId="3D2060C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w:t>
      </w:r>
    </w:p>
    <w:p w14:paraId="0655552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2025年度，公司依据《运维服务容量管理制度》，建立容量管理流程，确保IT基础设施和服务能力与业务需求相匹配。全年容量报告</w:t>
      </w:r>
      <w:r>
        <w:rPr>
          <w:rFonts w:hint="eastAsia"/>
          <w:lang w:val="en-US" w:eastAsia="zh-CN"/>
        </w:rPr>
        <w:t>及时性达到</w:t>
      </w:r>
      <w:r>
        <w:rPr>
          <w:rFonts w:hint="default"/>
          <w:lang w:val="en-US" w:eastAsia="zh-CN"/>
        </w:rPr>
        <w:t>100%。</w:t>
      </w:r>
    </w:p>
    <w:p w14:paraId="407AD28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信息安全管理</w:t>
      </w:r>
    </w:p>
    <w:p w14:paraId="6B72A1E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2025年度，公司依据《运维服务信息安全管理制度》，建立信息安全管理流程，确保服务的安全性满足客户约定的级别。全年完成信息安全风险评估1次，安全培训覆盖率100%，全年未发生信息安全事故。</w:t>
      </w:r>
    </w:p>
    <w:p w14:paraId="532A54F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资源管理</w:t>
      </w:r>
    </w:p>
    <w:p w14:paraId="68363F7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w:t>
      </w:r>
    </w:p>
    <w:p w14:paraId="6FD71A4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2025年12月，运维部对运维工具进行了一次自评估并生成自评估报告，达到每年至少进行一次自评估的要求。</w:t>
      </w:r>
    </w:p>
    <w:p w14:paraId="7952788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1" w:name="_Toc27763"/>
      <w:r>
        <w:t>服务台应用情况</w:t>
      </w:r>
      <w:bookmarkEnd w:id="91"/>
    </w:p>
    <w:p w14:paraId="78F1ED54">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_Toc17855"/>
      <w:r>
        <w:t>服务台管理体系概述</w:t>
      </w:r>
      <w:bookmarkEnd w:id="92"/>
    </w:p>
    <w:p w14:paraId="3C0122B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14:paraId="4C7BEB8D">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_Toc420"/>
      <w:r>
        <w:t>核心机制的应用与执行情况</w:t>
      </w:r>
      <w:bookmarkEnd w:id="93"/>
    </w:p>
    <w:p w14:paraId="57B7FBE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在统一的服务入口与职责落实方面，公司设立统一服务热线，提供7×24小时不间断服务。服务台与运维工程师职责已在iTop系统中通过权限和流程固化，形成了高效协作机制。</w:t>
      </w:r>
    </w:p>
    <w:p w14:paraId="5270802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服务台工作严格遵循报障受理、分析判断、解决事件、工单关闭、录入</w:t>
      </w:r>
      <w:r>
        <w:rPr>
          <w:rFonts w:hint="eastAsia"/>
          <w:lang w:eastAsia="zh-CN"/>
        </w:rPr>
        <w:t>服务知识</w:t>
      </w:r>
      <w:r>
        <w:rPr>
          <w:rFonts w:hint="eastAsia"/>
        </w:rPr>
        <w:t>、客户回访的流程</w:t>
      </w:r>
      <w:r>
        <w:rPr>
          <w:rFonts w:hint="eastAsia"/>
          <w:lang w:eastAsia="zh-CN"/>
        </w:rPr>
        <w:t>，</w:t>
      </w:r>
      <w:r>
        <w:rPr>
          <w:rFonts w:hint="eastAsia"/>
        </w:rPr>
        <w:t>服务质量获客户认可。运维部经理定期填写《服务台服务质量考核表》，考核结果计入个人绩效。</w:t>
      </w:r>
    </w:p>
    <w:p w14:paraId="09CBA499">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关键绩效指标达成情况</w:t>
      </w:r>
    </w:p>
    <w:p w14:paraId="222978A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服务台2025年度关键指标全部达成。</w:t>
      </w:r>
    </w:p>
    <w:p w14:paraId="7E16C92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服务台请求关闭率目标值为95%，考核频度为月度。2025年1月至12月，每月指标完成率均为100%，全年稳定达标。</w:t>
      </w:r>
    </w:p>
    <w:p w14:paraId="6085F2D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服务台接通率目标值为98%，考核频度为月度。2025年全年各月度接通率均达到100%，客户来电均能及时接听响应。</w:t>
      </w:r>
    </w:p>
    <w:p w14:paraId="3F6ADA78">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_Toc2114"/>
      <w:bookmarkStart w:id="95" w:name="heading_19"/>
      <w:r>
        <w:t>应用成效总结</w:t>
      </w:r>
      <w:bookmarkEnd w:id="94"/>
      <w:bookmarkEnd w:id="95"/>
    </w:p>
    <w:p w14:paraId="1D9FEC5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服务台制度与iTop系统结合应用以来，取得了显著成效：流程标准化，通过iTop将制度流程固化，杜绝随意性，运维效率显著提升；服务可视化，工单状态实时更新，处理进度对客户透明，增强客户信任感；管理数据化，基于iTop的报表功能对SLA、工单数量、解决时长等KPI进行量化监控，为管理决策提供精准数据支持；知识资产化，初步建立了与运维流程联动的知识管理体系，提升团队整体解决问题的能力和效率。</w:t>
      </w:r>
    </w:p>
    <w:p w14:paraId="6906604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6" w:name="_Toc6188"/>
      <w:bookmarkStart w:id="97" w:name="heading_20"/>
      <w:r>
        <w:t>备件库应用情况</w:t>
      </w:r>
      <w:bookmarkEnd w:id="96"/>
      <w:bookmarkEnd w:id="97"/>
    </w:p>
    <w:p w14:paraId="23F79A3D">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98" w:name="_Toc12252"/>
      <w:bookmarkStart w:id="99" w:name="heading_21"/>
      <w:r>
        <w:t>备品备件管理体系概述</w:t>
      </w:r>
      <w:bookmarkEnd w:id="98"/>
      <w:bookmarkEnd w:id="99"/>
    </w:p>
    <w:p w14:paraId="0397E8B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公司备品备件管理遵循“统一管理、集中调配”的原则，由</w:t>
      </w:r>
      <w:r>
        <w:rPr>
          <w:rFonts w:hint="eastAsia"/>
          <w:lang w:val="en-US" w:eastAsia="zh-CN"/>
        </w:rPr>
        <w:t>备件库</w:t>
      </w:r>
      <w:r>
        <w:t>负责，协同</w:t>
      </w:r>
      <w:r>
        <w:rPr>
          <w:rFonts w:hint="eastAsia"/>
          <w:lang w:val="en-US" w:eastAsia="zh-CN"/>
        </w:rPr>
        <w:t>运维工程师</w:t>
      </w:r>
      <w:r>
        <w:t>共同实施。管理体系全面覆盖了从供应商选择、采购、入库、存储、检测、出库到报废的全生命周期，旨在确保备件质量可靠、供应及时、管理规范，为达成服务级别协议（SLA）提供坚实的物质保障。</w:t>
      </w:r>
    </w:p>
    <w:p w14:paraId="24845358">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0" w:name="heading_22"/>
      <w:bookmarkStart w:id="101" w:name="_Toc3053"/>
      <w:r>
        <w:t>核心管理机制的应用与执行情况</w:t>
      </w:r>
      <w:bookmarkEnd w:id="100"/>
      <w:bookmarkEnd w:id="101"/>
    </w:p>
    <w:p w14:paraId="0CFA440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在组织架构与职责方面，</w:t>
      </w:r>
      <w:r>
        <w:rPr>
          <w:rFonts w:hint="eastAsia"/>
          <w:lang w:val="en-US" w:eastAsia="zh-CN"/>
        </w:rPr>
        <w:t>采购</w:t>
      </w:r>
      <w:r>
        <w:rPr>
          <w:rFonts w:hint="eastAsia"/>
        </w:rPr>
        <w:t>部负责采购计划、供应商管理、库存管理；运维部负责提出采购需求和协助备件检测。</w:t>
      </w:r>
    </w:p>
    <w:p w14:paraId="1F244E1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在供应商管理方面，严格依据《供应商管理制度》筛选合格供应商，实行优胜劣汰。</w:t>
      </w:r>
    </w:p>
    <w:p w14:paraId="1F41D3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在库存管理方面，对备件进行统一编码、分类存放，出入库凭审批单执行，确保账实相符。</w:t>
      </w:r>
    </w:p>
    <w:p w14:paraId="02C9DB2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在可用性检测方面，每月对库存备件按30%比例抽检，确保备件性能符合要求。</w:t>
      </w:r>
    </w:p>
    <w:p w14:paraId="067D2224">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2" w:name="_Toc7990"/>
      <w:bookmarkStart w:id="103" w:name="heading_27"/>
      <w:r>
        <w:t>关键绩效指标达成情况</w:t>
      </w:r>
      <w:bookmarkEnd w:id="102"/>
      <w:bookmarkEnd w:id="103"/>
    </w:p>
    <w:p w14:paraId="7575F23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备件库2025年度关键指标全部达成。</w:t>
      </w:r>
    </w:p>
    <w:p w14:paraId="35FA84A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备件可用率目标值为95%，考核频度为季度。2025年第一季度为95%，第二季度为98%，第三季度为100%，第四季度为100%，全年均值98.25%，持续优于目标值。</w:t>
      </w:r>
    </w:p>
    <w:p w14:paraId="638883F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备件库存准确率目标值为100%，考核频度为月度。2025年全年各月度库存准确率均为100%，账实相符。</w:t>
      </w:r>
    </w:p>
    <w:p w14:paraId="0C38C7DF">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4" w:name="_Toc4751"/>
      <w:bookmarkStart w:id="105" w:name="heading_28"/>
      <w:r>
        <w:t>应用成效总结</w:t>
      </w:r>
      <w:bookmarkEnd w:id="104"/>
      <w:bookmarkEnd w:id="105"/>
    </w:p>
    <w:p w14:paraId="2132EA4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备品备件管理体系通过制度化的流程、规范化的操作和数据化的考核，取得了显著成效：资源保障有力，通过严格的供应商管理和采购流程，确保备件来源的可靠性与经济性；库存质量可控，通过月度抽检和闭环管理，实现对库存备件有效性的精准控制；服务支撑高效，精细化的库存管理与SLA驱动的出库机制，确保故障发生时能快速响应。</w:t>
      </w:r>
    </w:p>
    <w:p w14:paraId="0CB8044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6" w:name="_Toc3442"/>
      <w:bookmarkStart w:id="107" w:name="heading_29"/>
      <w:r>
        <w:rPr>
          <w:rFonts w:hint="eastAsia"/>
          <w:lang w:val="en-US" w:eastAsia="zh-CN"/>
        </w:rPr>
        <w:t>服务知识</w:t>
      </w:r>
      <w:r>
        <w:t>应用情况</w:t>
      </w:r>
      <w:bookmarkEnd w:id="106"/>
      <w:bookmarkEnd w:id="107"/>
    </w:p>
    <w:p w14:paraId="5D7D4B85">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8" w:name="_Toc28018"/>
      <w:bookmarkStart w:id="109" w:name="heading_30"/>
      <w:r>
        <w:rPr>
          <w:rFonts w:hint="eastAsia"/>
          <w:lang w:eastAsia="zh-CN"/>
        </w:rPr>
        <w:t>服务知识</w:t>
      </w:r>
      <w:r>
        <w:t>管理体系概述</w:t>
      </w:r>
      <w:bookmarkEnd w:id="108"/>
      <w:bookmarkEnd w:id="109"/>
    </w:p>
    <w:p w14:paraId="27DFCFE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w:t>
      </w:r>
      <w:r>
        <w:rPr>
          <w:rFonts w:hint="eastAsia"/>
          <w:lang w:eastAsia="zh-CN"/>
        </w:rPr>
        <w:t>服务知识</w:t>
      </w:r>
      <w:r>
        <w:rPr>
          <w:rFonts w:hint="eastAsia"/>
        </w:rPr>
        <w:t>管理遵循统一管理、集中维护、全员共享、持续优化的原则，由</w:t>
      </w:r>
      <w:r>
        <w:rPr>
          <w:rFonts w:hint="eastAsia"/>
          <w:lang w:val="en-US" w:eastAsia="zh-CN"/>
        </w:rPr>
        <w:t>运维部</w:t>
      </w:r>
      <w:r>
        <w:rPr>
          <w:rFonts w:hint="eastAsia"/>
        </w:rPr>
        <w:t>主导管理，运维部为主要贡献和使用方，覆盖知识的产生、审核、发布、使用、更新和淘汰的全生命周期。</w:t>
      </w:r>
    </w:p>
    <w:p w14:paraId="11DC95CD">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0" w:name="_Toc11560"/>
      <w:bookmarkStart w:id="111" w:name="heading_31"/>
      <w:r>
        <w:t>核心管理机制的应用与执行情况</w:t>
      </w:r>
      <w:bookmarkEnd w:id="110"/>
      <w:bookmarkEnd w:id="111"/>
    </w:p>
    <w:p w14:paraId="1D008E5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在角色与职责方面，</w:t>
      </w:r>
      <w:r>
        <w:rPr>
          <w:rFonts w:hint="eastAsia"/>
          <w:lang w:eastAsia="zh-CN"/>
        </w:rPr>
        <w:t>服务知识</w:t>
      </w:r>
      <w:r>
        <w:rPr>
          <w:rFonts w:hint="eastAsia"/>
        </w:rPr>
        <w:t>管理员由</w:t>
      </w:r>
      <w:r>
        <w:rPr>
          <w:rFonts w:hint="eastAsia"/>
          <w:lang w:val="en-US" w:eastAsia="zh-CN"/>
        </w:rPr>
        <w:t>运维部</w:t>
      </w:r>
      <w:r>
        <w:rPr>
          <w:rFonts w:hint="eastAsia"/>
        </w:rPr>
        <w:t>经理兼任，负责制度执行、知识入库审批、知识质量监督与权限管理；</w:t>
      </w:r>
      <w:r>
        <w:rPr>
          <w:rFonts w:hint="eastAsia"/>
          <w:lang w:val="en-US" w:eastAsia="zh-CN"/>
        </w:rPr>
        <w:t>服务知识专员</w:t>
      </w:r>
      <w:r>
        <w:rPr>
          <w:rFonts w:hint="eastAsia"/>
        </w:rPr>
        <w:t>负责知识的日常发布、分类整理、系统维护与内容更新。</w:t>
      </w:r>
    </w:p>
    <w:p w14:paraId="224C2AC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在管理流程方面，严格执行提交、审批、发布的流程，更新与删除需经审批。</w:t>
      </w:r>
    </w:p>
    <w:p w14:paraId="1E68D4C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在与运维流程结合方面，将典型解决方案作为已知错误录入</w:t>
      </w:r>
      <w:r>
        <w:rPr>
          <w:rFonts w:hint="eastAsia"/>
          <w:lang w:eastAsia="zh-CN"/>
        </w:rPr>
        <w:t>服务知识</w:t>
      </w:r>
      <w:r>
        <w:rPr>
          <w:rFonts w:hint="eastAsia"/>
        </w:rPr>
        <w:t>，促进经验沉淀。</w:t>
      </w:r>
    </w:p>
    <w:p w14:paraId="50E7D0B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在权限安全管理方面，精细设置文档权限，对分享内容添加水印、禁止复制。</w:t>
      </w:r>
    </w:p>
    <w:p w14:paraId="689AAB90">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2" w:name="heading_36"/>
      <w:bookmarkStart w:id="113" w:name="_Toc11792"/>
      <w:r>
        <w:t>关键绩效指标达成情况</w:t>
      </w:r>
      <w:bookmarkEnd w:id="112"/>
      <w:bookmarkEnd w:id="113"/>
    </w:p>
    <w:p w14:paraId="1E63DF3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服务知识</w:t>
      </w:r>
      <w:r>
        <w:rPr>
          <w:rFonts w:hint="eastAsia"/>
        </w:rPr>
        <w:t>2025年度关键指标全部达成。</w:t>
      </w:r>
    </w:p>
    <w:p w14:paraId="1973E1E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新增知识条目目标值为每月5条，考核频度为月度。2025年各月度新增知识条目分别为1月5条、2月8条、3月8条、4月7条、5月6条、6月12条、7月8条、8月10条、9月13条、10月15条、11月18条、12月12条，全部达标。</w:t>
      </w:r>
    </w:p>
    <w:p w14:paraId="43E2B82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服务知识使用率目标值为80%，考核频度为季度。2025年第一季度为80%，第二季度为85%，第三季度为90%，第四季度为90%，持续提升。</w:t>
      </w:r>
    </w:p>
    <w:p w14:paraId="35A2967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知识采纳率目标值为70%，考核频度为季度。2025年第一季度为80%，第二季度为85%，第三季度为90%，第四季度为90%，持续提升。</w:t>
      </w:r>
    </w:p>
    <w:p w14:paraId="333E430B">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4" w:name="_Toc25504"/>
      <w:bookmarkStart w:id="115" w:name="heading_37"/>
      <w:r>
        <w:t>应用成效总结</w:t>
      </w:r>
      <w:bookmarkEnd w:id="114"/>
      <w:bookmarkEnd w:id="115"/>
    </w:p>
    <w:p w14:paraId="0200AAD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服务知识</w:t>
      </w:r>
      <w:r>
        <w:rPr>
          <w:rFonts w:hint="default"/>
          <w:lang w:val="en-US" w:eastAsia="zh-CN"/>
        </w:rPr>
        <w:t>管理体系通过制度化的流程、平台化的工具和数据化的考核，取得了显著成效：知识资产化，将分散在个人手中的经验系统性地转化为组织的标准知识资产，避免知识流失；运维高效化，通过知识复用缩短故障排查与解决时间，提升一线解决率，降低运维成本；团队协同化，建立共享与学习的文化，促进团队成员之间的经验交流与技术成长；管理闭环化，通过贡献、审核、应用、激励的闭环以及关联的KPI考核，确保</w:t>
      </w:r>
      <w:r>
        <w:rPr>
          <w:rFonts w:hint="eastAsia"/>
          <w:lang w:val="en-US" w:eastAsia="zh-CN"/>
        </w:rPr>
        <w:t>服务知识</w:t>
      </w:r>
      <w:r>
        <w:rPr>
          <w:rFonts w:hint="default"/>
          <w:lang w:val="en-US" w:eastAsia="zh-CN"/>
        </w:rPr>
        <w:t>的活力和长期发展。</w:t>
      </w:r>
    </w:p>
    <w:p w14:paraId="719867C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最终软件库应用情况</w:t>
      </w:r>
    </w:p>
    <w:p w14:paraId="234F9484">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软件库管理体系概述</w:t>
      </w:r>
    </w:p>
    <w:p w14:paraId="0838360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公司软件库管理遵循统一管理、集中存储、规范使用的原则，由研发部主导管理，运维部为主要使用方，覆盖软件的入库、存储、版本管理、授权管理、出库使用到退出的全生命周期。</w:t>
      </w:r>
    </w:p>
    <w:p w14:paraId="57D59834">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核心管理机制的应用与执行情况</w:t>
      </w:r>
    </w:p>
    <w:p w14:paraId="1AF91C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在组织架构与职责方面，研发部经理负责软件库的整体管理，技术支持工程师负责软件的入库登记、版本更新和日常维护，运维工程师负责软件的使用申请和反馈。</w:t>
      </w:r>
    </w:p>
    <w:p w14:paraId="5DF4C03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在入库管理方面，所有软件入库前均经过安全检测和完整性验证，确保软件来源可靠、内容完整。软件安装包、授权文件、技术文档统一归档存放。</w:t>
      </w:r>
    </w:p>
    <w:p w14:paraId="23D93D9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在版本管理方面，建立软件版本基线，对正式版本、测试版本进行分类管理，版本更新需经过测试验证后方可入库。</w:t>
      </w:r>
    </w:p>
    <w:p w14:paraId="0B1D09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在授权管理方面，所有商业软件授权在软件库中统一登记，按照授权数量和使用范围进行管控，定期审计授权使用情况。</w:t>
      </w:r>
    </w:p>
    <w:p w14:paraId="228465AF">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关键绩效指标达成情况</w:t>
      </w:r>
    </w:p>
    <w:p w14:paraId="4F58559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软件库2025年度关键指标全部达成。</w:t>
      </w:r>
    </w:p>
    <w:p w14:paraId="04342A6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软件入库完整率目标值为100%，考核频度为半年度。2025年上半年为100%，下半年为100%，全年达标。</w:t>
      </w:r>
    </w:p>
    <w:p w14:paraId="5EA09655">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应用成效总结</w:t>
      </w:r>
    </w:p>
    <w:p w14:paraId="51F659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体系的建立和应用，取得了显著成效：软件资产清晰，通过统一登记和分类管理，全面掌握公司软件资产状况；授权合规可控，通过授权登记和定期审计，确保软件使用合规；版本管理规范，通过基线管理和版本控制，避免错误版本使用；使用效率提升，运维人员可快速获取所需软件，提升工作效率。</w:t>
      </w:r>
    </w:p>
    <w:p w14:paraId="090B91C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服务数据应用情况</w:t>
      </w:r>
    </w:p>
    <w:p w14:paraId="1BA0DBE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服务数据管理体系概述</w:t>
      </w:r>
    </w:p>
    <w:p w14:paraId="46865B7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公司服务数据管理遵循统一管理、安全可控、全程可溯的原则，由运维部主导管理，覆盖服务数据的分类、收集、备份、加密、恢复的全生命周期，确保数据的完整性、可用性和保密性。</w:t>
      </w:r>
    </w:p>
    <w:p w14:paraId="2D8D784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核心管理机制的应用与执行情况</w:t>
      </w:r>
    </w:p>
    <w:p w14:paraId="6C9E00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在数据分类与收集方面，对服务数据进行分类管理，包括运维工单数据、配置管理数据、监控数据、技术文档、</w:t>
      </w:r>
      <w:r>
        <w:rPr>
          <w:rFonts w:hint="eastAsia"/>
          <w:lang w:val="en-US" w:eastAsia="zh-CN"/>
        </w:rPr>
        <w:t>服务知识</w:t>
      </w:r>
      <w:r>
        <w:rPr>
          <w:rFonts w:hint="default"/>
          <w:lang w:val="en-US" w:eastAsia="zh-CN"/>
        </w:rPr>
        <w:t>数据等，各类数据由责任部门负责收集和整理。</w:t>
      </w:r>
    </w:p>
    <w:p w14:paraId="676E275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在数据备份方面，制定差异化的备份策略，运维工单数据每日全量备份，配置管理数据每周全量备份，监控数据每月增量备份，备份数据本地和云端双存储。</w:t>
      </w:r>
    </w:p>
    <w:p w14:paraId="1F6E72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在数据恢复验证方面，定期进行数据恢复试验，验证备份数据的可用性和完整性，确保在数据丢失时能够快速恢复。</w:t>
      </w:r>
    </w:p>
    <w:p w14:paraId="6901FF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在数据加密方面，对高密级数据实施存储加密和传输加密，使用经国家密码管理部门认可的加密产品，确保数据安全。</w:t>
      </w:r>
    </w:p>
    <w:p w14:paraId="64A598CD">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关键绩效指标达成情况</w:t>
      </w:r>
    </w:p>
    <w:p w14:paraId="3DC569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服务数据2025年度关键指标全部达成。</w:t>
      </w:r>
    </w:p>
    <w:p w14:paraId="525FA6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数据备份成功率目标值为99%，考核频度为月度。2025年1月至12月，每月备份成功率均为100%，全年稳定达标。</w:t>
      </w:r>
    </w:p>
    <w:p w14:paraId="07C56A0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数据恢复成功率目标值为95%，考核频度为半年度。2025年上半年为100%，下半年为100%，数据恢复验证全部通过。</w:t>
      </w:r>
    </w:p>
    <w:p w14:paraId="4805AB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数据完整性目标值为99%，考核频度为季度。2025年第一季度为99%，第二季度为95%，第三季度为100%，第四季度为100%，</w:t>
      </w:r>
      <w:r>
        <w:rPr>
          <w:rFonts w:hint="eastAsia"/>
          <w:lang w:val="en-US" w:eastAsia="zh-CN"/>
        </w:rPr>
        <w:t>其中第二季度数据完整率未达到KPI指标要求。</w:t>
      </w:r>
    </w:p>
    <w:p w14:paraId="1C0C7AEE">
      <w:pPr>
        <w:pStyle w:val="34"/>
        <w:bidi w:val="0"/>
        <w:rPr>
          <w:rFonts w:hint="default"/>
          <w:lang w:val="en-US" w:eastAsia="zh-CN"/>
        </w:rPr>
      </w:pPr>
      <w:r>
        <w:rPr>
          <w:rFonts w:hint="eastAsia"/>
          <w:lang w:val="en-US" w:eastAsia="zh-CN"/>
        </w:rPr>
        <w:t>服务数据跟踪改进</w:t>
      </w:r>
    </w:p>
    <w:p w14:paraId="189D1E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14:paraId="5A533B6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应用成效总结</w:t>
      </w:r>
    </w:p>
    <w:p w14:paraId="0407EC0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体系通过规范化的流程和严格的安全管控，取得了显著成效：数据安全有保障，通过分级加密和权限管控，确保敏感数据不泄露；数据备份全覆盖，关键数据每日备份，备份成功率100%；恢复能力已验证，定期开展数据恢复试验，确保备份数据可用；数据管理规范化，建立了从收集、存储到销毁的全生命周期管理机制。</w:t>
      </w:r>
      <w:bookmarkStart w:id="172" w:name="_GoBack"/>
      <w:bookmarkEnd w:id="172"/>
    </w:p>
    <w:p w14:paraId="4FC7F8AF">
      <w:pPr>
        <w:pStyle w:val="31"/>
        <w:bidi w:val="0"/>
        <w:rPr>
          <w:rFonts w:hint="default"/>
          <w:lang w:val="en-US" w:eastAsia="zh-CN"/>
        </w:rPr>
      </w:pPr>
      <w:r>
        <w:rPr>
          <w:rFonts w:hint="eastAsia"/>
          <w:lang w:val="en-US" w:eastAsia="zh-CN"/>
        </w:rPr>
        <w:t>技术管理</w:t>
      </w:r>
    </w:p>
    <w:p w14:paraId="100B523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6" w:name="heading_3"/>
      <w:bookmarkStart w:id="117" w:name="_Toc12002"/>
      <w:r>
        <w:t>研发背景</w:t>
      </w:r>
      <w:bookmarkEnd w:id="116"/>
      <w:bookmarkEnd w:id="117"/>
    </w:p>
    <w:p w14:paraId="6F37612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为了解决公司在IT项目运维实施过程中，数据库层面存在的性能监控缺失、慢查询定位困难等突出问题，满足公司运维需求，提升公司整体运维服务能力，公司于2025年初制定了数据库监控模块研发规划，并按照规划有序推进实施。</w:t>
      </w:r>
    </w:p>
    <w:p w14:paraId="345299B0">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8" w:name="_Toc15357"/>
      <w:bookmarkStart w:id="119" w:name="heading_4"/>
      <w:r>
        <w:t>研发目标</w:t>
      </w:r>
      <w:bookmarkEnd w:id="118"/>
      <w:bookmarkEnd w:id="119"/>
    </w:p>
    <w:p w14:paraId="1C1416F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本年度研发工作围绕数据库监控模块展开，主要目标如下：</w:t>
      </w:r>
    </w:p>
    <w:p w14:paraId="1E7E983D">
      <w:pPr>
        <w:pStyle w:val="4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实现对MySQL、Redis等主流数据库的全面监控</w:t>
      </w:r>
    </w:p>
    <w:p w14:paraId="12C8A21F">
      <w:pPr>
        <w:pStyle w:val="4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具备慢SQL采集分析和索引优化建议能力</w:t>
      </w:r>
    </w:p>
    <w:p w14:paraId="1D88EE21">
      <w:pPr>
        <w:pStyle w:val="4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完成数据库监控模块在公司运维项目中的试点应用</w:t>
      </w:r>
    </w:p>
    <w:p w14:paraId="6E0871AF">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0" w:name="_Toc7019"/>
      <w:r>
        <w:t>整体完成情况</w:t>
      </w:r>
      <w:bookmarkEnd w:id="120"/>
    </w:p>
    <w:p w14:paraId="21B652D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1" w:name="_Toc26163"/>
      <w:bookmarkStart w:id="122" w:name="_Toc28656"/>
      <w:r>
        <w:rPr>
          <w:rFonts w:hint="eastAsia"/>
          <w:lang w:val="en-US" w:eastAsia="zh-CN"/>
        </w:rPr>
        <w:t xml:space="preserve"> </w:t>
      </w:r>
      <w:bookmarkEnd w:id="121"/>
      <w:r>
        <w:rPr>
          <w:rFonts w:hint="eastAsia"/>
          <w:lang w:val="en-US" w:eastAsia="zh-CN"/>
        </w:rPr>
        <w:t>整体进度表</w:t>
      </w:r>
      <w:bookmarkEnd w:id="122"/>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49"/>
        <w:gridCol w:w="1910"/>
        <w:gridCol w:w="1590"/>
        <w:gridCol w:w="3831"/>
      </w:tblGrid>
      <w:tr w14:paraId="7A716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94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E02A58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1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B9A103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研发内容</w:t>
            </w:r>
          </w:p>
        </w:tc>
        <w:tc>
          <w:tcPr>
            <w:tcW w:w="159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68B752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计划状态</w:t>
            </w:r>
          </w:p>
        </w:tc>
        <w:tc>
          <w:tcPr>
            <w:tcW w:w="383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1B5E33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实际完成情况</w:t>
            </w:r>
          </w:p>
        </w:tc>
      </w:tr>
      <w:tr w14:paraId="3BED7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F595A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90ECBE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7B79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4DD5A3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全部功能按计划完成开发</w:t>
            </w:r>
          </w:p>
        </w:tc>
      </w:tr>
      <w:tr w14:paraId="0B3E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ABE53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F8F71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1FCA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2A2F84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3本手册全部编写完成</w:t>
            </w:r>
          </w:p>
        </w:tc>
      </w:tr>
      <w:tr w14:paraId="144EE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81F0D0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04764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新技术研发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18D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B27568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3项技术研究按计划完成</w:t>
            </w:r>
          </w:p>
        </w:tc>
      </w:tr>
      <w:tr w14:paraId="410AF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815690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1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550170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推广应用</w:t>
            </w:r>
          </w:p>
        </w:tc>
        <w:tc>
          <w:tcPr>
            <w:tcW w:w="159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614F5D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E75FF4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已在项目中试点应用</w:t>
            </w:r>
          </w:p>
        </w:tc>
      </w:tr>
    </w:tbl>
    <w:p w14:paraId="7FFBA55F">
      <w:pPr>
        <w:pStyle w:val="33"/>
        <w:bidi w:val="0"/>
      </w:pPr>
      <w:bookmarkStart w:id="123" w:name="_Toc10772"/>
      <w:r>
        <w:t>工具研发完成情况</w:t>
      </w:r>
      <w:bookmarkEnd w:id="123"/>
    </w:p>
    <w:p w14:paraId="304886FD">
      <w:pPr>
        <w:pStyle w:val="34"/>
        <w:bidi w:val="0"/>
      </w:pPr>
      <w:bookmarkStart w:id="124" w:name="_Toc29613"/>
      <w:r>
        <w:t>实施规划完成情况</w:t>
      </w:r>
      <w:bookmarkEnd w:id="124"/>
    </w:p>
    <w:p w14:paraId="2636C58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5" w:name="_Toc3710"/>
      <w:r>
        <w:rPr>
          <w:rFonts w:hint="eastAsia"/>
          <w:lang w:val="en-US" w:eastAsia="zh-CN"/>
        </w:rPr>
        <w:t xml:space="preserve"> 研发计划进度表</w:t>
      </w:r>
      <w:bookmarkEnd w:id="125"/>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78"/>
        <w:gridCol w:w="1335"/>
        <w:gridCol w:w="1545"/>
        <w:gridCol w:w="1800"/>
        <w:gridCol w:w="1884"/>
        <w:gridCol w:w="1038"/>
      </w:tblGrid>
      <w:tr w14:paraId="68CE3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7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60EC18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33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63D07F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阶段</w:t>
            </w:r>
          </w:p>
        </w:tc>
        <w:tc>
          <w:tcPr>
            <w:tcW w:w="15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4D7F60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阶段名称</w:t>
            </w:r>
          </w:p>
        </w:tc>
        <w:tc>
          <w:tcPr>
            <w:tcW w:w="180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EA1F52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8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E7658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103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21F6FE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33982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C7194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B0F9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第一阶段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0EE4D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项目启动</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EEB17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2025年1月25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1D2E5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2025年1月25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82BB91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完成</w:t>
            </w:r>
          </w:p>
        </w:tc>
      </w:tr>
      <w:tr w14:paraId="00857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53E92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77D78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第二阶段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430A3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需求分析</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12627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2025年3月15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308F7D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2025年3月15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F84745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7796C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416C0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303623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第三阶段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E0D0A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系统开发</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97B9D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2025年6月30</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6D83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2025年6月30</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56044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003D1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A6319A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D347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第四阶段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BBF8D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试运行部署</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475F9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2025年8月31</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BBD99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2025年8月31</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83890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4EF8C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B6780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D5842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第五阶段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ED78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项目收尾</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8B7FC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2025年10月31</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B5E41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2025年10月31</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F6C075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70D5E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7D6068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33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80D0BE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第六阶段</w:t>
            </w:r>
          </w:p>
        </w:tc>
        <w:tc>
          <w:tcPr>
            <w:tcW w:w="15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42FF78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推广应用</w:t>
            </w:r>
          </w:p>
        </w:tc>
        <w:tc>
          <w:tcPr>
            <w:tcW w:w="180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371FF7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2025年11-12月</w:t>
            </w:r>
          </w:p>
        </w:tc>
        <w:tc>
          <w:tcPr>
            <w:tcW w:w="18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7A061D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eastAsia="宋体"/>
                <w:lang w:val="en-US" w:eastAsia="zh-CN"/>
              </w:rPr>
            </w:pPr>
            <w:r>
              <w:t>2025年11</w:t>
            </w:r>
            <w:r>
              <w:rPr>
                <w:rFonts w:hint="eastAsia"/>
                <w:lang w:val="en-US" w:eastAsia="zh-CN"/>
              </w:rPr>
              <w:t>月</w:t>
            </w:r>
          </w:p>
        </w:tc>
        <w:tc>
          <w:tcPr>
            <w:tcW w:w="103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DE15F5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rPr>
            </w:pPr>
            <w:r>
              <w:rPr>
                <w:rFonts w:hint="eastAsia"/>
                <w:lang w:val="en-US" w:eastAsia="zh-CN"/>
              </w:rPr>
              <w:t>完成</w:t>
            </w:r>
          </w:p>
        </w:tc>
      </w:tr>
    </w:tbl>
    <w:p w14:paraId="0AFA3BCC">
      <w:pPr>
        <w:pStyle w:val="34"/>
        <w:bidi w:val="0"/>
      </w:pPr>
      <w:bookmarkStart w:id="126" w:name="_Toc216"/>
      <w:r>
        <w:t>具体功能研发完成情况</w:t>
      </w:r>
      <w:bookmarkEnd w:id="126"/>
    </w:p>
    <w:p w14:paraId="184B69A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7" w:name="_Toc17080"/>
      <w:r>
        <w:rPr>
          <w:rFonts w:hint="eastAsia"/>
          <w:lang w:val="en-US" w:eastAsia="zh-CN"/>
        </w:rPr>
        <w:t xml:space="preserve"> 具体研发进度表</w:t>
      </w:r>
      <w:bookmarkEnd w:id="127"/>
    </w:p>
    <w:tbl>
      <w:tblPr>
        <w:tblStyle w:val="23"/>
        <w:tblW w:w="89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21"/>
        <w:gridCol w:w="1103"/>
        <w:gridCol w:w="2060"/>
        <w:gridCol w:w="1340"/>
        <w:gridCol w:w="1585"/>
        <w:gridCol w:w="1585"/>
        <w:gridCol w:w="621"/>
      </w:tblGrid>
      <w:tr w14:paraId="4C30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2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301801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10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FD6DD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功能模块</w:t>
            </w:r>
          </w:p>
        </w:tc>
        <w:tc>
          <w:tcPr>
            <w:tcW w:w="206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971544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具体功能</w:t>
            </w:r>
          </w:p>
        </w:tc>
        <w:tc>
          <w:tcPr>
            <w:tcW w:w="134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44DF99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58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CE27F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58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C6AF1C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62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C2BAEB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4B5EE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99FA9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A8CB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40548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数据库连接数监控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CF54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CE0346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2025年2月15日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41A26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2025年2月10日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50FA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1D134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C2192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1D63CA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5E75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QPS/TPS监控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E3B67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F66BA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2025年3月10日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2741E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2025年3月5日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A0906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1CA42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BC2B68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3</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39F3C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57481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慢查询日志采集</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50193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A7157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2025年4月5日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1723C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2025年4月1日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BB1839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72ACA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A8715C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4</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0627D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6638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lang w:val="en-US" w:eastAsia="zh-CN"/>
              </w:rPr>
            </w:pPr>
            <w:r>
              <w:rPr>
                <w:rFonts w:hint="eastAsia"/>
                <w:sz w:val="24"/>
                <w:lang w:val="en-US" w:eastAsia="zh-CN"/>
              </w:rPr>
              <w:t>查询响应时间监控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F7CBB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22AC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2025年4月30日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403AF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2025年4月25日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36A45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42232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EBD97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5</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3E9E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E893F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内存使用率监控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64DC1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A9D54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2025年5月20日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9CA9B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2025年5月15日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F438B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4C726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0B3C42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6</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54994D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1A68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命中率监控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9F7FD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093C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2025年6月10日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3E286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2025年6月5日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7D3E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70ADE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FE8306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7</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E0656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87129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连接数及命令执行速率监控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90EFA2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B5FA2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2025年6月30日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1FA15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2025年6月25日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B4601C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07ED5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A67ED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8</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2C9654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慢SQL分析</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7642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慢SQL实时采集与展示</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2BC37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29727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2025年7月20日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FE7F4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2025年7月15日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7089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193A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8F5135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9</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7BFC6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慢SQL分析</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266F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SQL执行计划分析</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596A08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27415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2025年8月10日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6C31A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2025年8月5日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BF317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61B98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B3E55B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10</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FED0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索引优化</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EBA0A4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索引使用情况分析</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B9276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1BB4A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2025年8月31日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754E7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2025年8月28日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413BA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54C9A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3D714E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11</w:t>
            </w:r>
          </w:p>
        </w:tc>
        <w:tc>
          <w:tcPr>
            <w:tcW w:w="110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42C17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索引优化</w:t>
            </w:r>
          </w:p>
        </w:tc>
        <w:tc>
          <w:tcPr>
            <w:tcW w:w="206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B0C15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索引优化建议生成</w:t>
            </w:r>
          </w:p>
        </w:tc>
        <w:tc>
          <w:tcPr>
            <w:tcW w:w="134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0CFF33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石宝升</w:t>
            </w:r>
          </w:p>
        </w:tc>
        <w:tc>
          <w:tcPr>
            <w:tcW w:w="158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A3EB33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2025年9月20日</w:t>
            </w:r>
          </w:p>
        </w:tc>
        <w:tc>
          <w:tcPr>
            <w:tcW w:w="158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C727AD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2025年9月15日</w:t>
            </w:r>
          </w:p>
        </w:tc>
        <w:tc>
          <w:tcPr>
            <w:tcW w:w="62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0122F4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bl>
    <w:p w14:paraId="05ADE4AB">
      <w:pPr>
        <w:pStyle w:val="34"/>
        <w:bidi w:val="0"/>
      </w:pPr>
      <w:bookmarkStart w:id="128" w:name="_Toc31584"/>
      <w:r>
        <w:rPr>
          <w:rFonts w:hint="eastAsia"/>
          <w:lang w:val="en-US" w:eastAsia="zh-CN"/>
        </w:rPr>
        <w:t>研发成果</w:t>
      </w:r>
      <w:bookmarkEnd w:id="128"/>
    </w:p>
    <w:p w14:paraId="56645064">
      <w:pPr>
        <w:pStyle w:val="43"/>
        <w:bidi w:val="0"/>
        <w:rPr>
          <w:rFonts w:hint="eastAsia"/>
          <w:lang w:val="en-US" w:eastAsia="zh-CN"/>
        </w:rPr>
      </w:pPr>
      <w:bookmarkStart w:id="129" w:name="_Toc17882"/>
      <w:r>
        <w:rPr>
          <w:rFonts w:hint="eastAsia"/>
          <w:lang w:val="en-US" w:eastAsia="zh-CN"/>
        </w:rPr>
        <w:t>MySQL连接数监控</w:t>
      </w:r>
      <w:bookmarkEnd w:id="129"/>
    </w:p>
    <w:p w14:paraId="534B351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0" w:name="_Toc25564"/>
      <w:r>
        <w:rPr>
          <w:rFonts w:hint="eastAsia"/>
          <w:lang w:val="en-US" w:eastAsia="zh-CN"/>
        </w:rPr>
        <w:t xml:space="preserve"> MySQL连接数监控</w:t>
      </w:r>
      <w:bookmarkEnd w:id="130"/>
    </w:p>
    <w:p w14:paraId="269538CD">
      <w:pPr>
        <w:pStyle w:val="32"/>
        <w:ind w:left="0" w:leftChars="0" w:firstLine="0" w:firstLineChars="0"/>
        <w:rPr>
          <w:rFonts w:hint="eastAsia"/>
          <w:lang w:val="en-US" w:eastAsia="zh-CN"/>
        </w:rPr>
      </w:pPr>
      <w:r>
        <w:drawing>
          <wp:inline distT="0" distB="0" distL="114300" distR="114300">
            <wp:extent cx="5269865" cy="2333625"/>
            <wp:effectExtent l="0" t="0" r="317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2333625"/>
                    </a:xfrm>
                    <a:prstGeom prst="rect">
                      <a:avLst/>
                    </a:prstGeom>
                    <a:noFill/>
                    <a:ln>
                      <a:noFill/>
                    </a:ln>
                  </pic:spPr>
                </pic:pic>
              </a:graphicData>
            </a:graphic>
          </wp:inline>
        </w:drawing>
      </w:r>
    </w:p>
    <w:p w14:paraId="6E1E2B88">
      <w:pPr>
        <w:pStyle w:val="43"/>
        <w:bidi w:val="0"/>
        <w:rPr>
          <w:rFonts w:hint="eastAsia"/>
          <w:lang w:val="en-US" w:eastAsia="zh-CN"/>
        </w:rPr>
      </w:pPr>
      <w:bookmarkStart w:id="131" w:name="_Toc6057"/>
      <w:r>
        <w:rPr>
          <w:rFonts w:hint="eastAsia"/>
          <w:lang w:val="en-US" w:eastAsia="zh-CN"/>
        </w:rPr>
        <w:t>QPS/TPS监控</w:t>
      </w:r>
      <w:bookmarkEnd w:id="131"/>
    </w:p>
    <w:p w14:paraId="7BBDA65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32" w:name="_Toc8733"/>
      <w:r>
        <w:rPr>
          <w:rFonts w:hint="eastAsia"/>
          <w:lang w:val="en-US" w:eastAsia="zh-CN"/>
        </w:rPr>
        <w:t xml:space="preserve"> QPS监控</w:t>
      </w:r>
      <w:bookmarkEnd w:id="132"/>
    </w:p>
    <w:p w14:paraId="70D22589">
      <w:pPr>
        <w:pStyle w:val="32"/>
        <w:ind w:left="0" w:leftChars="0" w:firstLine="0" w:firstLineChars="0"/>
        <w:rPr>
          <w:rFonts w:hint="eastAsia"/>
          <w:lang w:val="en-US" w:eastAsia="zh-CN"/>
        </w:rPr>
      </w:pPr>
      <w:r>
        <w:drawing>
          <wp:inline distT="0" distB="0" distL="114300" distR="114300">
            <wp:extent cx="5271135" cy="2632075"/>
            <wp:effectExtent l="0" t="0" r="190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135" cy="2632075"/>
                    </a:xfrm>
                    <a:prstGeom prst="rect">
                      <a:avLst/>
                    </a:prstGeom>
                    <a:noFill/>
                    <a:ln>
                      <a:noFill/>
                    </a:ln>
                  </pic:spPr>
                </pic:pic>
              </a:graphicData>
            </a:graphic>
          </wp:inline>
        </w:drawing>
      </w:r>
    </w:p>
    <w:p w14:paraId="4D1BAD96">
      <w:pPr>
        <w:pStyle w:val="43"/>
        <w:bidi w:val="0"/>
        <w:rPr>
          <w:rFonts w:hint="eastAsia"/>
          <w:lang w:val="en-US" w:eastAsia="zh-CN"/>
        </w:rPr>
      </w:pPr>
      <w:bookmarkStart w:id="133" w:name="_Toc12342"/>
      <w:r>
        <w:rPr>
          <w:rFonts w:hint="eastAsia"/>
          <w:lang w:val="en-US" w:eastAsia="zh-CN"/>
        </w:rPr>
        <w:t>慢查询日志采集</w:t>
      </w:r>
      <w:bookmarkEnd w:id="133"/>
    </w:p>
    <w:p w14:paraId="512FE71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34" w:name="_Toc966"/>
      <w:r>
        <w:rPr>
          <w:rFonts w:hint="eastAsia"/>
          <w:lang w:val="en-US" w:eastAsia="zh-CN"/>
        </w:rPr>
        <w:t xml:space="preserve"> 慢查询SQL展示</w:t>
      </w:r>
      <w:bookmarkEnd w:id="134"/>
    </w:p>
    <w:p w14:paraId="520ACFF4">
      <w:pPr>
        <w:pStyle w:val="32"/>
        <w:ind w:left="0" w:leftChars="0" w:firstLine="0" w:firstLineChars="0"/>
        <w:rPr>
          <w:rFonts w:hint="eastAsia"/>
          <w:lang w:val="en-US" w:eastAsia="zh-CN"/>
        </w:rPr>
      </w:pPr>
      <w:r>
        <w:drawing>
          <wp:inline distT="0" distB="0" distL="114300" distR="114300">
            <wp:extent cx="5270500" cy="9829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982980"/>
                    </a:xfrm>
                    <a:prstGeom prst="rect">
                      <a:avLst/>
                    </a:prstGeom>
                    <a:noFill/>
                    <a:ln>
                      <a:noFill/>
                    </a:ln>
                  </pic:spPr>
                </pic:pic>
              </a:graphicData>
            </a:graphic>
          </wp:inline>
        </w:drawing>
      </w:r>
    </w:p>
    <w:p w14:paraId="1611C570">
      <w:pPr>
        <w:pStyle w:val="43"/>
        <w:bidi w:val="0"/>
        <w:rPr>
          <w:rFonts w:hint="eastAsia"/>
          <w:lang w:val="en-US" w:eastAsia="zh-CN"/>
        </w:rPr>
      </w:pPr>
      <w:bookmarkStart w:id="135" w:name="_Toc6032"/>
      <w:r>
        <w:rPr>
          <w:rFonts w:hint="eastAsia"/>
          <w:lang w:val="en-US" w:eastAsia="zh-CN"/>
        </w:rPr>
        <w:t>查询响应监控</w:t>
      </w:r>
      <w:bookmarkEnd w:id="135"/>
    </w:p>
    <w:p w14:paraId="44A61FF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36" w:name="_Toc12225"/>
      <w:r>
        <w:rPr>
          <w:rFonts w:hint="eastAsia"/>
          <w:lang w:val="en-US" w:eastAsia="zh-CN"/>
        </w:rPr>
        <w:t xml:space="preserve"> 查询响应分布</w:t>
      </w:r>
      <w:bookmarkEnd w:id="136"/>
    </w:p>
    <w:p w14:paraId="64F44DD3">
      <w:pPr>
        <w:pStyle w:val="32"/>
        <w:ind w:left="0" w:leftChars="0" w:firstLine="0" w:firstLineChars="0"/>
        <w:rPr>
          <w:rFonts w:hint="eastAsia"/>
          <w:lang w:val="en-US" w:eastAsia="zh-CN"/>
        </w:rPr>
      </w:pPr>
      <w:r>
        <w:drawing>
          <wp:inline distT="0" distB="0" distL="114300" distR="114300">
            <wp:extent cx="5271770" cy="126111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770" cy="1261110"/>
                    </a:xfrm>
                    <a:prstGeom prst="rect">
                      <a:avLst/>
                    </a:prstGeom>
                    <a:noFill/>
                    <a:ln>
                      <a:noFill/>
                    </a:ln>
                  </pic:spPr>
                </pic:pic>
              </a:graphicData>
            </a:graphic>
          </wp:inline>
        </w:drawing>
      </w:r>
    </w:p>
    <w:p w14:paraId="693CACF1">
      <w:pPr>
        <w:pStyle w:val="43"/>
        <w:bidi w:val="0"/>
        <w:rPr>
          <w:rFonts w:hint="eastAsia"/>
          <w:lang w:val="en-US" w:eastAsia="zh-CN"/>
        </w:rPr>
      </w:pPr>
      <w:bookmarkStart w:id="137" w:name="_Toc32172"/>
      <w:r>
        <w:rPr>
          <w:rFonts w:hint="eastAsia"/>
          <w:lang w:val="en-US" w:eastAsia="zh-CN"/>
        </w:rPr>
        <w:t>内存使用率监控</w:t>
      </w:r>
      <w:bookmarkEnd w:id="137"/>
    </w:p>
    <w:p w14:paraId="260F8DD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38" w:name="_Toc25937"/>
      <w:r>
        <w:rPr>
          <w:rFonts w:hint="eastAsia"/>
          <w:lang w:val="en-US" w:eastAsia="zh-CN"/>
        </w:rPr>
        <w:t xml:space="preserve"> 内存使用情况</w:t>
      </w:r>
      <w:bookmarkEnd w:id="138"/>
    </w:p>
    <w:p w14:paraId="31FCF38F">
      <w:pPr>
        <w:pStyle w:val="32"/>
        <w:ind w:left="0" w:leftChars="0" w:firstLine="0" w:firstLineChars="0"/>
        <w:rPr>
          <w:rFonts w:hint="eastAsia"/>
          <w:lang w:val="en-US" w:eastAsia="zh-CN"/>
        </w:rPr>
      </w:pPr>
      <w:r>
        <w:drawing>
          <wp:inline distT="0" distB="0" distL="114300" distR="114300">
            <wp:extent cx="5268595" cy="2038985"/>
            <wp:effectExtent l="0" t="0" r="444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8595" cy="2038985"/>
                    </a:xfrm>
                    <a:prstGeom prst="rect">
                      <a:avLst/>
                    </a:prstGeom>
                    <a:noFill/>
                    <a:ln>
                      <a:noFill/>
                    </a:ln>
                  </pic:spPr>
                </pic:pic>
              </a:graphicData>
            </a:graphic>
          </wp:inline>
        </w:drawing>
      </w:r>
    </w:p>
    <w:p w14:paraId="199E9AE7">
      <w:pPr>
        <w:pStyle w:val="43"/>
        <w:bidi w:val="0"/>
        <w:rPr>
          <w:rFonts w:hint="eastAsia"/>
          <w:lang w:val="en-US" w:eastAsia="zh-CN"/>
        </w:rPr>
      </w:pPr>
      <w:bookmarkStart w:id="139" w:name="_Toc10570"/>
      <w:r>
        <w:rPr>
          <w:rFonts w:hint="eastAsia"/>
          <w:lang w:val="en-US" w:eastAsia="zh-CN"/>
        </w:rPr>
        <w:t>命中率监控</w:t>
      </w:r>
      <w:bookmarkEnd w:id="139"/>
    </w:p>
    <w:p w14:paraId="63125EF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140" w:name="_Toc26502"/>
      <w:r>
        <w:rPr>
          <w:rFonts w:hint="eastAsia"/>
          <w:lang w:val="en-US" w:eastAsia="zh-CN"/>
        </w:rPr>
        <w:t xml:space="preserve"> 缓存命中率监控</w:t>
      </w:r>
      <w:bookmarkEnd w:id="140"/>
    </w:p>
    <w:p w14:paraId="41849DD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0500" cy="217614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2176145"/>
                    </a:xfrm>
                    <a:prstGeom prst="rect">
                      <a:avLst/>
                    </a:prstGeom>
                    <a:noFill/>
                    <a:ln>
                      <a:noFill/>
                    </a:ln>
                  </pic:spPr>
                </pic:pic>
              </a:graphicData>
            </a:graphic>
          </wp:inline>
        </w:drawing>
      </w:r>
    </w:p>
    <w:p w14:paraId="7B9D311B">
      <w:pPr>
        <w:pStyle w:val="43"/>
        <w:bidi w:val="0"/>
        <w:rPr>
          <w:rFonts w:hint="eastAsia"/>
          <w:lang w:val="en-US" w:eastAsia="zh-CN"/>
        </w:rPr>
      </w:pPr>
      <w:bookmarkStart w:id="141" w:name="_Toc13641"/>
      <w:r>
        <w:rPr>
          <w:rFonts w:hint="eastAsia"/>
          <w:lang w:val="en-US" w:eastAsia="zh-CN"/>
        </w:rPr>
        <w:t>连接数计命令执行速率监控</w:t>
      </w:r>
      <w:bookmarkEnd w:id="141"/>
    </w:p>
    <w:p w14:paraId="1DC439B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142" w:name="_Toc2379"/>
      <w:r>
        <w:rPr>
          <w:rFonts w:hint="eastAsia"/>
          <w:lang w:val="en-US" w:eastAsia="zh-CN"/>
        </w:rPr>
        <w:t xml:space="preserve"> 连接数统计</w:t>
      </w:r>
      <w:bookmarkEnd w:id="142"/>
    </w:p>
    <w:p w14:paraId="4A5FA338">
      <w:pPr>
        <w:pStyle w:val="32"/>
        <w:ind w:left="0" w:leftChars="0" w:firstLine="0" w:firstLineChars="0"/>
      </w:pPr>
      <w:r>
        <w:drawing>
          <wp:inline distT="0" distB="0" distL="114300" distR="114300">
            <wp:extent cx="5269230" cy="2096135"/>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9230" cy="2096135"/>
                    </a:xfrm>
                    <a:prstGeom prst="rect">
                      <a:avLst/>
                    </a:prstGeom>
                    <a:noFill/>
                    <a:ln>
                      <a:noFill/>
                    </a:ln>
                  </pic:spPr>
                </pic:pic>
              </a:graphicData>
            </a:graphic>
          </wp:inline>
        </w:drawing>
      </w:r>
    </w:p>
    <w:p w14:paraId="7360EB8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143" w:name="_Toc1745"/>
      <w:r>
        <w:rPr>
          <w:rFonts w:hint="eastAsia"/>
          <w:lang w:val="en-US" w:eastAsia="zh-CN"/>
        </w:rPr>
        <w:t xml:space="preserve"> 命令调用分布统计</w:t>
      </w:r>
      <w:bookmarkEnd w:id="143"/>
    </w:p>
    <w:p w14:paraId="0AFD599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4310" cy="2232025"/>
            <wp:effectExtent l="0" t="0" r="139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4310" cy="2232025"/>
                    </a:xfrm>
                    <a:prstGeom prst="rect">
                      <a:avLst/>
                    </a:prstGeom>
                    <a:noFill/>
                    <a:ln>
                      <a:noFill/>
                    </a:ln>
                  </pic:spPr>
                </pic:pic>
              </a:graphicData>
            </a:graphic>
          </wp:inline>
        </w:drawing>
      </w:r>
    </w:p>
    <w:p w14:paraId="5D794CDF">
      <w:pPr>
        <w:pStyle w:val="43"/>
        <w:bidi w:val="0"/>
        <w:rPr>
          <w:rFonts w:hint="eastAsia"/>
          <w:lang w:val="en-US" w:eastAsia="zh-CN"/>
        </w:rPr>
      </w:pPr>
      <w:bookmarkStart w:id="144" w:name="_Toc10931"/>
      <w:r>
        <w:rPr>
          <w:rFonts w:hint="eastAsia"/>
          <w:lang w:val="en-US" w:eastAsia="zh-CN"/>
        </w:rPr>
        <w:t>慢SQL时时采集与展示</w:t>
      </w:r>
      <w:bookmarkEnd w:id="144"/>
    </w:p>
    <w:p w14:paraId="19607EF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145" w:name="_Toc32614"/>
      <w:r>
        <w:rPr>
          <w:rFonts w:hint="eastAsia"/>
          <w:lang w:val="en-US" w:eastAsia="zh-CN"/>
        </w:rPr>
        <w:t xml:space="preserve"> 慢SQL展示</w:t>
      </w:r>
      <w:bookmarkEnd w:id="145"/>
    </w:p>
    <w:p w14:paraId="2FDEFD04">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5420" cy="2895600"/>
            <wp:effectExtent l="0" t="0" r="11430" b="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14"/>
                    <a:stretch>
                      <a:fillRect/>
                    </a:stretch>
                  </pic:blipFill>
                  <pic:spPr>
                    <a:xfrm>
                      <a:off x="0" y="0"/>
                      <a:ext cx="5265420" cy="2895600"/>
                    </a:xfrm>
                    <a:prstGeom prst="rect">
                      <a:avLst/>
                    </a:prstGeom>
                    <a:noFill/>
                    <a:ln>
                      <a:noFill/>
                    </a:ln>
                  </pic:spPr>
                </pic:pic>
              </a:graphicData>
            </a:graphic>
          </wp:inline>
        </w:drawing>
      </w:r>
    </w:p>
    <w:p w14:paraId="3D6D40E8">
      <w:pPr>
        <w:pStyle w:val="43"/>
        <w:bidi w:val="0"/>
        <w:rPr>
          <w:rFonts w:hint="eastAsia"/>
          <w:lang w:val="en-US" w:eastAsia="zh-CN"/>
        </w:rPr>
      </w:pPr>
      <w:bookmarkStart w:id="146" w:name="_Toc27764"/>
      <w:r>
        <w:rPr>
          <w:rFonts w:hint="eastAsia"/>
          <w:lang w:val="en-US" w:eastAsia="zh-CN"/>
        </w:rPr>
        <w:t>慢SQL分析</w:t>
      </w:r>
      <w:bookmarkEnd w:id="146"/>
    </w:p>
    <w:p w14:paraId="73A6E98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147" w:name="_Toc15099"/>
      <w:r>
        <w:rPr>
          <w:rFonts w:hint="eastAsia"/>
          <w:lang w:val="en-US" w:eastAsia="zh-CN"/>
        </w:rPr>
        <w:t xml:space="preserve"> 慢SQL列表分析</w:t>
      </w:r>
      <w:bookmarkEnd w:id="147"/>
    </w:p>
    <w:p w14:paraId="7BE1E2AA">
      <w:pPr>
        <w:pStyle w:val="32"/>
        <w:ind w:left="0" w:leftChars="0" w:firstLine="0" w:firstLineChars="0"/>
        <w:rPr>
          <w:rFonts w:hint="eastAsia"/>
          <w:lang w:val="en-US" w:eastAsia="zh-CN"/>
        </w:rPr>
      </w:pPr>
      <w:r>
        <w:drawing>
          <wp:inline distT="0" distB="0" distL="114300" distR="114300">
            <wp:extent cx="5274310" cy="1207135"/>
            <wp:effectExtent l="0" t="0" r="2540"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274310" cy="1207135"/>
                    </a:xfrm>
                    <a:prstGeom prst="rect">
                      <a:avLst/>
                    </a:prstGeom>
                    <a:noFill/>
                    <a:ln>
                      <a:noFill/>
                    </a:ln>
                  </pic:spPr>
                </pic:pic>
              </a:graphicData>
            </a:graphic>
          </wp:inline>
        </w:drawing>
      </w:r>
    </w:p>
    <w:p w14:paraId="10F4A909">
      <w:pPr>
        <w:pStyle w:val="43"/>
        <w:bidi w:val="0"/>
        <w:rPr>
          <w:rFonts w:hint="eastAsia"/>
          <w:lang w:val="en-US" w:eastAsia="zh-CN"/>
        </w:rPr>
      </w:pPr>
      <w:bookmarkStart w:id="148" w:name="_Toc13989"/>
      <w:r>
        <w:rPr>
          <w:rFonts w:hint="eastAsia"/>
          <w:lang w:val="en-US" w:eastAsia="zh-CN"/>
        </w:rPr>
        <w:t>索引使用分析</w:t>
      </w:r>
      <w:bookmarkEnd w:id="148"/>
    </w:p>
    <w:p w14:paraId="4199463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bookmarkStart w:id="149" w:name="_Toc232"/>
      <w:r>
        <w:rPr>
          <w:rFonts w:hint="eastAsia"/>
          <w:lang w:val="en-US" w:eastAsia="zh-CN"/>
        </w:rPr>
        <w:t xml:space="preserve"> 索引使用情况分析</w:t>
      </w:r>
      <w:bookmarkEnd w:id="149"/>
    </w:p>
    <w:p w14:paraId="66BC3212">
      <w:pPr>
        <w:pStyle w:val="32"/>
        <w:ind w:left="0" w:leftChars="0" w:firstLine="0" w:firstLineChars="0"/>
        <w:rPr>
          <w:rFonts w:hint="eastAsia"/>
          <w:lang w:val="en-US" w:eastAsia="zh-CN"/>
        </w:rPr>
      </w:pPr>
      <w:r>
        <w:drawing>
          <wp:inline distT="0" distB="0" distL="114300" distR="114300">
            <wp:extent cx="5271770" cy="2343150"/>
            <wp:effectExtent l="0" t="0" r="127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71770" cy="2343150"/>
                    </a:xfrm>
                    <a:prstGeom prst="rect">
                      <a:avLst/>
                    </a:prstGeom>
                    <a:noFill/>
                    <a:ln>
                      <a:noFill/>
                    </a:ln>
                  </pic:spPr>
                </pic:pic>
              </a:graphicData>
            </a:graphic>
          </wp:inline>
        </w:drawing>
      </w:r>
    </w:p>
    <w:p w14:paraId="6668CB3C">
      <w:pPr>
        <w:pStyle w:val="43"/>
        <w:bidi w:val="0"/>
        <w:rPr>
          <w:rFonts w:hint="default"/>
          <w:lang w:val="en-US" w:eastAsia="zh-CN"/>
        </w:rPr>
      </w:pPr>
      <w:r>
        <w:rPr>
          <w:rFonts w:hint="eastAsia"/>
          <w:lang w:val="en-US" w:eastAsia="zh-CN"/>
        </w:rPr>
        <w:t>索引优化</w:t>
      </w:r>
    </w:p>
    <w:p w14:paraId="00CA805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bookmarkStart w:id="150" w:name="_Toc12712"/>
      <w:r>
        <w:rPr>
          <w:rFonts w:hint="eastAsia"/>
          <w:lang w:val="en-US" w:eastAsia="zh-CN"/>
        </w:rPr>
        <w:t xml:space="preserve"> 索引建议优化列表与汇总</w:t>
      </w:r>
      <w:bookmarkEnd w:id="150"/>
    </w:p>
    <w:p w14:paraId="7DE14911">
      <w:pPr>
        <w:pStyle w:val="32"/>
        <w:ind w:left="0" w:leftChars="0" w:firstLine="0" w:firstLineChars="0"/>
        <w:rPr>
          <w:rFonts w:hint="default"/>
          <w:lang w:val="en-US" w:eastAsia="zh-CN"/>
        </w:rPr>
      </w:pPr>
      <w:r>
        <w:drawing>
          <wp:inline distT="0" distB="0" distL="114300" distR="114300">
            <wp:extent cx="5273040" cy="218884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3040" cy="2188845"/>
                    </a:xfrm>
                    <a:prstGeom prst="rect">
                      <a:avLst/>
                    </a:prstGeom>
                    <a:noFill/>
                    <a:ln>
                      <a:noFill/>
                    </a:ln>
                  </pic:spPr>
                </pic:pic>
              </a:graphicData>
            </a:graphic>
          </wp:inline>
        </w:drawing>
      </w:r>
    </w:p>
    <w:p w14:paraId="7BDB9F1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1" w:name="_Toc7705"/>
      <w:r>
        <w:rPr>
          <w:rFonts w:hint="eastAsia"/>
          <w:lang w:val="en-US" w:eastAsia="zh-CN"/>
        </w:rPr>
        <w:t>研发</w:t>
      </w:r>
      <w:r>
        <w:t>工具应用情况</w:t>
      </w:r>
      <w:bookmarkEnd w:id="151"/>
    </w:p>
    <w:p w14:paraId="61029D5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数据库监控模块已于2025年第四季度在企业门店ERP统一管理系统、大化投发服务项目中试点应用。应用效果良好，有效提升了数据库层面的监控覆盖面和故障发现及时性，慢SQL分析功能帮助运维人员快速定位性能问题，获得了项目团队的认可。</w:t>
      </w:r>
    </w:p>
    <w:p w14:paraId="26D9008A">
      <w:pPr>
        <w:pStyle w:val="33"/>
        <w:bidi w:val="0"/>
      </w:pPr>
      <w:bookmarkStart w:id="152" w:name="_Toc5711"/>
      <w:r>
        <w:t>手册研发完成情况</w:t>
      </w:r>
      <w:bookmarkEnd w:id="152"/>
    </w:p>
    <w:p w14:paraId="2AC5399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为配合数据库监控模块的推广使用，同步完成了相关运维手册的编写：</w:t>
      </w:r>
    </w:p>
    <w:p w14:paraId="64D796F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3" w:name="_Toc22673"/>
      <w:r>
        <w:rPr>
          <w:rFonts w:hint="eastAsia"/>
          <w:lang w:val="en-US" w:eastAsia="zh-CN"/>
        </w:rPr>
        <w:t xml:space="preserve"> 研发手册完成情况</w:t>
      </w:r>
      <w:bookmarkEnd w:id="153"/>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25"/>
        <w:gridCol w:w="2625"/>
        <w:gridCol w:w="866"/>
        <w:gridCol w:w="1589"/>
        <w:gridCol w:w="1591"/>
        <w:gridCol w:w="984"/>
      </w:tblGrid>
      <w:tr w14:paraId="41A92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62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824E6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2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9BF72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名称</w:t>
            </w:r>
          </w:p>
        </w:tc>
        <w:tc>
          <w:tcPr>
            <w:tcW w:w="86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5902B1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58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8B411C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59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3C2C52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98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C23ED8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1D25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13C696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E3B505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MySQL数据库运维手册</w:t>
            </w:r>
          </w:p>
        </w:tc>
        <w:tc>
          <w:tcPr>
            <w:tcW w:w="86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14B35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石宝升</w:t>
            </w:r>
          </w:p>
        </w:tc>
        <w:tc>
          <w:tcPr>
            <w:tcW w:w="15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CB146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2025年4月</w:t>
            </w:r>
          </w:p>
        </w:tc>
        <w:tc>
          <w:tcPr>
            <w:tcW w:w="159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86A892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2025年3月28日</w:t>
            </w:r>
          </w:p>
        </w:tc>
        <w:tc>
          <w:tcPr>
            <w:tcW w:w="98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172C9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052CA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5E6D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46FD7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MySQL数据库常见问题手册</w:t>
            </w:r>
          </w:p>
        </w:tc>
        <w:tc>
          <w:tcPr>
            <w:tcW w:w="86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5B83B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石宝升</w:t>
            </w:r>
          </w:p>
        </w:tc>
        <w:tc>
          <w:tcPr>
            <w:tcW w:w="158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6DAC4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2025年9月</w:t>
            </w:r>
          </w:p>
        </w:tc>
        <w:tc>
          <w:tcPr>
            <w:tcW w:w="159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D6DC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2025年9月25日</w:t>
            </w:r>
          </w:p>
        </w:tc>
        <w:tc>
          <w:tcPr>
            <w:tcW w:w="98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089D11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00C9C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242CC5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2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F72746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MySQL慢SQL分析手册</w:t>
            </w:r>
          </w:p>
        </w:tc>
        <w:tc>
          <w:tcPr>
            <w:tcW w:w="86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D7F2A1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石宝升</w:t>
            </w:r>
          </w:p>
        </w:tc>
        <w:tc>
          <w:tcPr>
            <w:tcW w:w="158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6ED78D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2025年11月</w:t>
            </w:r>
          </w:p>
        </w:tc>
        <w:tc>
          <w:tcPr>
            <w:tcW w:w="159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482455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2025年11月20日</w:t>
            </w:r>
          </w:p>
        </w:tc>
        <w:tc>
          <w:tcPr>
            <w:tcW w:w="98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A9C1D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bl>
    <w:p w14:paraId="00A57AA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上述手册已纳入公司知识库，供运维人员查阅使用。</w:t>
      </w:r>
    </w:p>
    <w:p w14:paraId="64EF0119">
      <w:pPr>
        <w:pStyle w:val="33"/>
        <w:bidi w:val="0"/>
      </w:pPr>
      <w:bookmarkStart w:id="154" w:name="_Toc13103"/>
      <w:r>
        <w:t>新技术研发完成情况</w:t>
      </w:r>
      <w:bookmarkEnd w:id="154"/>
    </w:p>
    <w:p w14:paraId="33F8457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在数据库监控模块研发过程中，同步开展了以下新技术的研究与应用：</w:t>
      </w:r>
    </w:p>
    <w:p w14:paraId="0B6C3ACB">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5" w:name="_Toc5037"/>
      <w:r>
        <w:rPr>
          <w:rFonts w:hint="eastAsia"/>
          <w:lang w:val="en-US" w:eastAsia="zh-CN"/>
        </w:rPr>
        <w:t xml:space="preserve"> 新技术研发完成情况</w:t>
      </w:r>
      <w:bookmarkEnd w:id="155"/>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38"/>
        <w:gridCol w:w="1597"/>
        <w:gridCol w:w="1844"/>
        <w:gridCol w:w="1602"/>
        <w:gridCol w:w="1602"/>
        <w:gridCol w:w="997"/>
      </w:tblGrid>
      <w:tr w14:paraId="5ACE3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3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096C70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59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51DDC7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新技术方向</w:t>
            </w:r>
          </w:p>
        </w:tc>
        <w:tc>
          <w:tcPr>
            <w:tcW w:w="184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211531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研究内容</w:t>
            </w:r>
          </w:p>
        </w:tc>
        <w:tc>
          <w:tcPr>
            <w:tcW w:w="160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D4E720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60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3C0835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99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A87706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602CB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A145B7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59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731C05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智能告警技术</w:t>
            </w:r>
          </w:p>
        </w:tc>
        <w:tc>
          <w:tcPr>
            <w:tcW w:w="18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80267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动态阈值算法研究与应用</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B5619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2025年9月30日</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6A950B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2025年9月25日</w:t>
            </w:r>
          </w:p>
        </w:tc>
        <w:tc>
          <w:tcPr>
            <w:tcW w:w="9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6CF387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r w14:paraId="7EFB1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5FA862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59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623B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自动索引推荐</w:t>
            </w:r>
          </w:p>
        </w:tc>
        <w:tc>
          <w:tcPr>
            <w:tcW w:w="18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09261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慢SQL分析结果自动生成索引建议</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F87743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2025年11月30日</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76C57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2025年11月25日</w:t>
            </w:r>
          </w:p>
        </w:tc>
        <w:tc>
          <w:tcPr>
            <w:tcW w:w="9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E4D21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r w14:paraId="1D584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FEDD9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59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9F997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性能趋势预测</w:t>
            </w:r>
          </w:p>
        </w:tc>
        <w:tc>
          <w:tcPr>
            <w:tcW w:w="184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0036BC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基于历史数据的性能趋势分析</w:t>
            </w:r>
          </w:p>
        </w:tc>
        <w:tc>
          <w:tcPr>
            <w:tcW w:w="160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8DDE0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2025年12月31日</w:t>
            </w:r>
          </w:p>
        </w:tc>
        <w:tc>
          <w:tcPr>
            <w:tcW w:w="160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D639B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2025年12月20日</w:t>
            </w:r>
          </w:p>
        </w:tc>
        <w:tc>
          <w:tcPr>
            <w:tcW w:w="99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F9FF2F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bl>
    <w:p w14:paraId="5D9CB1F8">
      <w:pPr>
        <w:pStyle w:val="32"/>
        <w:bidi w:val="0"/>
      </w:pPr>
      <w:r>
        <w:t>智能告警技术。完成了基于动态阈值的智能告警算法研究，通过分析历史监控数据的周期性规律，自动计算不同时段的合理阈值范围。该技术已在数据库监控模块中应用，有效降低了误报率。</w:t>
      </w:r>
    </w:p>
    <w:p w14:paraId="78938D5E">
      <w:pPr>
        <w:pStyle w:val="32"/>
        <w:bidi w:val="0"/>
      </w:pPr>
      <w:r>
        <w:t>自动索引推荐技术。完成了基于慢SQL分析结果的自动索引推荐技术研究，通过解析SQL语句的执行计划和查询条件，自动识别缺失索引并生成优化建议。该功能已在监控平台上线，降低了数据库优化的技术门槛。</w:t>
      </w:r>
    </w:p>
    <w:p w14:paraId="498D9392">
      <w:pPr>
        <w:pStyle w:val="32"/>
        <w:bidi w:val="0"/>
      </w:pPr>
      <w:r>
        <w:t>性能趋势预测技术。完成了基于历史监控数据的性能趋势预测方法研究，利用时间序列分析算法对CPU使用率、连接数、慢查询数量等关键指标进行预测，可实现提前识别潜在性能风险。</w:t>
      </w:r>
    </w:p>
    <w:p w14:paraId="00D089E8">
      <w:pPr>
        <w:pStyle w:val="33"/>
        <w:bidi w:val="0"/>
      </w:pPr>
      <w:bookmarkStart w:id="156" w:name="_Toc4792"/>
      <w:r>
        <w:t>资源使用情况</w:t>
      </w:r>
      <w:bookmarkEnd w:id="156"/>
    </w:p>
    <w:p w14:paraId="3BB29058">
      <w:pPr>
        <w:pStyle w:val="34"/>
        <w:bidi w:val="0"/>
      </w:pPr>
      <w:bookmarkStart w:id="157" w:name="_Toc15760"/>
      <w:r>
        <w:t>人员投入</w:t>
      </w:r>
      <w:bookmarkEnd w:id="157"/>
    </w:p>
    <w:p w14:paraId="200F54E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8" w:name="_Toc20153"/>
      <w:r>
        <w:rPr>
          <w:rFonts w:hint="eastAsia"/>
          <w:lang w:val="en-US" w:eastAsia="zh-CN"/>
        </w:rPr>
        <w:t xml:space="preserve"> 人员投入情况</w:t>
      </w:r>
      <w:bookmarkEnd w:id="158"/>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18"/>
        <w:gridCol w:w="3391"/>
        <w:gridCol w:w="659"/>
        <w:gridCol w:w="1378"/>
        <w:gridCol w:w="1234"/>
      </w:tblGrid>
      <w:tr w14:paraId="1D369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61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6B2A4D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职位名称</w:t>
            </w:r>
          </w:p>
        </w:tc>
        <w:tc>
          <w:tcPr>
            <w:tcW w:w="33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2E349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职责描述</w:t>
            </w:r>
          </w:p>
        </w:tc>
        <w:tc>
          <w:tcPr>
            <w:tcW w:w="65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545694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人数</w:t>
            </w:r>
          </w:p>
        </w:tc>
        <w:tc>
          <w:tcPr>
            <w:tcW w:w="137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E54C78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姓名</w:t>
            </w:r>
          </w:p>
        </w:tc>
        <w:tc>
          <w:tcPr>
            <w:tcW w:w="123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D9013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实际投入</w:t>
            </w:r>
          </w:p>
          <w:p w14:paraId="716C4E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（月）</w:t>
            </w:r>
          </w:p>
        </w:tc>
      </w:tr>
      <w:tr w14:paraId="44125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6598DA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研发部经理</w:t>
            </w:r>
          </w:p>
        </w:tc>
        <w:tc>
          <w:tcPr>
            <w:tcW w:w="33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940D2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研发负责人，负责需求分析、计划制定、进度跟踪、质量把控</w:t>
            </w:r>
          </w:p>
        </w:tc>
        <w:tc>
          <w:tcPr>
            <w:tcW w:w="6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9E71DB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37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E9DDC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石宝升</w:t>
            </w:r>
          </w:p>
        </w:tc>
        <w:tc>
          <w:tcPr>
            <w:tcW w:w="123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29C3E2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10个月</w:t>
            </w:r>
          </w:p>
        </w:tc>
      </w:tr>
      <w:tr w14:paraId="05983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B98869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33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59E26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负责模块研发、测试及手册编写</w:t>
            </w:r>
          </w:p>
        </w:tc>
        <w:tc>
          <w:tcPr>
            <w:tcW w:w="6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F2E05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37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FE62F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23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F9E00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10个月</w:t>
            </w:r>
          </w:p>
        </w:tc>
      </w:tr>
      <w:tr w14:paraId="29741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2EA34A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w:t>
            </w:r>
          </w:p>
        </w:tc>
        <w:tc>
          <w:tcPr>
            <w:tcW w:w="33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D849A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负责功能测试和性能测试</w:t>
            </w:r>
          </w:p>
        </w:tc>
        <w:tc>
          <w:tcPr>
            <w:tcW w:w="6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830A6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37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8CC9A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w:t>
            </w:r>
          </w:p>
        </w:tc>
        <w:tc>
          <w:tcPr>
            <w:tcW w:w="123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232EC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3个月</w:t>
            </w:r>
          </w:p>
        </w:tc>
      </w:tr>
      <w:tr w14:paraId="0556B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41190E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33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27AF64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65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3838B2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r>
              <w:rPr>
                <w:rFonts w:ascii="Arial" w:hAnsi="Arial" w:eastAsia="等线" w:cs="Arial"/>
                <w:b/>
                <w:sz w:val="22"/>
              </w:rPr>
              <w:t>3人</w:t>
            </w:r>
          </w:p>
        </w:tc>
        <w:tc>
          <w:tcPr>
            <w:tcW w:w="137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030D7E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23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13BA73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p>
        </w:tc>
      </w:tr>
    </w:tbl>
    <w:p w14:paraId="2916C099">
      <w:pPr>
        <w:pStyle w:val="34"/>
        <w:bidi w:val="0"/>
      </w:pPr>
      <w:bookmarkStart w:id="159" w:name="_Toc23778"/>
      <w:r>
        <w:t>资金投入</w:t>
      </w:r>
      <w:bookmarkEnd w:id="159"/>
    </w:p>
    <w:p w14:paraId="70BC3EC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0" w:name="_Toc8761"/>
      <w:r>
        <w:rPr>
          <w:rFonts w:hint="eastAsia"/>
          <w:lang w:val="en-US" w:eastAsia="zh-CN"/>
        </w:rPr>
        <w:t xml:space="preserve"> 资金投入情况</w:t>
      </w:r>
      <w:bookmarkEnd w:id="160"/>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87"/>
        <w:gridCol w:w="1945"/>
        <w:gridCol w:w="2384"/>
        <w:gridCol w:w="1168"/>
        <w:gridCol w:w="1168"/>
        <w:gridCol w:w="928"/>
      </w:tblGrid>
      <w:tr w14:paraId="2F6BB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8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73633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693B5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投入项目</w:t>
            </w:r>
          </w:p>
        </w:tc>
        <w:tc>
          <w:tcPr>
            <w:tcW w:w="23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1EF140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计算说明</w:t>
            </w:r>
          </w:p>
        </w:tc>
        <w:tc>
          <w:tcPr>
            <w:tcW w:w="11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AEA804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预算金额</w:t>
            </w:r>
          </w:p>
        </w:tc>
        <w:tc>
          <w:tcPr>
            <w:tcW w:w="11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D95F74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实际支出</w:t>
            </w:r>
          </w:p>
        </w:tc>
        <w:tc>
          <w:tcPr>
            <w:tcW w:w="92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83A5E7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执行率</w:t>
            </w:r>
          </w:p>
        </w:tc>
      </w:tr>
      <w:tr w14:paraId="2C153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BFB46C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A664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研发部经理人力成本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5927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2.5万/月 × 10月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0886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25万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1E1265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25万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3D684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42E59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0DA87B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82BEA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6D3A5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1.5万/月 × 10月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A7D7F4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15万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5A16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15万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6FDB1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17D29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8F967D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FBC14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6C49E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1万/月 × 3月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1C097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3DB2B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3万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2198E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73ADA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B5CE4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84091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运维手册研发</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878A00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3本手册编写</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581A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0.5万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E2CB3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0.5万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85349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362D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57B676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9580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新技术研发</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DD645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智能告警、自动索引、趋势预测</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F19D7C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20A14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3万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F0B61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0BE5D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CC5F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E1883F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设备及软件授权</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3B77C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数据库软件、开发工具授权</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158D8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0508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0.8万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390784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80%</w:t>
            </w:r>
          </w:p>
        </w:tc>
      </w:tr>
      <w:tr w14:paraId="4E35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42DA7B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19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D5BC85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23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4CAEBC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p>
        </w:tc>
        <w:tc>
          <w:tcPr>
            <w:tcW w:w="11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CF3D19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r>
              <w:rPr>
                <w:rFonts w:ascii="Arial" w:hAnsi="Arial" w:eastAsia="等线" w:cs="Arial"/>
                <w:b/>
                <w:sz w:val="22"/>
              </w:rPr>
              <w:t>47.5万</w:t>
            </w:r>
          </w:p>
        </w:tc>
        <w:tc>
          <w:tcPr>
            <w:tcW w:w="11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42C595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r>
              <w:rPr>
                <w:rFonts w:ascii="Arial" w:hAnsi="Arial" w:eastAsia="等线" w:cs="Arial"/>
                <w:b/>
                <w:sz w:val="22"/>
              </w:rPr>
              <w:t>47.3万</w:t>
            </w:r>
          </w:p>
        </w:tc>
        <w:tc>
          <w:tcPr>
            <w:tcW w:w="92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655ACE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r>
              <w:rPr>
                <w:rFonts w:ascii="Arial" w:hAnsi="Arial" w:eastAsia="等线" w:cs="Arial"/>
                <w:b/>
                <w:sz w:val="22"/>
              </w:rPr>
              <w:t>99.6%</w:t>
            </w:r>
          </w:p>
        </w:tc>
      </w:tr>
    </w:tbl>
    <w:p w14:paraId="0E9A482A">
      <w:pPr>
        <w:pStyle w:val="34"/>
        <w:bidi w:val="0"/>
      </w:pPr>
      <w:bookmarkStart w:id="161" w:name="_Toc27336"/>
      <w:r>
        <w:t>场地使用</w:t>
      </w:r>
      <w:bookmarkEnd w:id="161"/>
    </w:p>
    <w:p w14:paraId="6DA2E3C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研发工作在公司现有办公场地进行，利用研发部办公区及会议室开展日常研发、讨论及评审工作，未产生额外场地租赁费用。</w:t>
      </w:r>
    </w:p>
    <w:p w14:paraId="01293BE0">
      <w:pPr>
        <w:pStyle w:val="34"/>
        <w:bidi w:val="0"/>
      </w:pPr>
      <w:bookmarkStart w:id="162" w:name="_Toc23348"/>
      <w:r>
        <w:t>设备使用</w:t>
      </w:r>
      <w:bookmarkEnd w:id="162"/>
    </w:p>
    <w:p w14:paraId="6DCE1E15">
      <w:pPr>
        <w:rPr>
          <w:rFonts w:hint="eastAsia"/>
          <w:lang w:val="en-US" w:eastAsia="zh-CN"/>
        </w:rPr>
      </w:pPr>
      <w:r>
        <w:rPr>
          <w:rFonts w:hint="eastAsia"/>
          <w:lang w:val="en-US" w:eastAsia="zh-CN"/>
        </w:rPr>
        <w:br w:type="page"/>
      </w:r>
    </w:p>
    <w:p w14:paraId="14851C5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63" w:name="_Toc14050"/>
      <w:r>
        <w:rPr>
          <w:rFonts w:hint="eastAsia"/>
          <w:lang w:val="en-US" w:eastAsia="zh-CN"/>
        </w:rPr>
        <w:t xml:space="preserve"> 设备投入情况</w:t>
      </w:r>
      <w:bookmarkEnd w:id="163"/>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7"/>
        <w:gridCol w:w="1592"/>
        <w:gridCol w:w="2198"/>
        <w:gridCol w:w="718"/>
        <w:gridCol w:w="3055"/>
      </w:tblGrid>
      <w:tr w14:paraId="06567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1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95AAF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5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C7C14E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设备类型</w:t>
            </w:r>
          </w:p>
        </w:tc>
        <w:tc>
          <w:tcPr>
            <w:tcW w:w="219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E419D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型号</w:t>
            </w:r>
          </w:p>
        </w:tc>
        <w:tc>
          <w:tcPr>
            <w:tcW w:w="71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69CDAB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数量</w:t>
            </w:r>
          </w:p>
        </w:tc>
        <w:tc>
          <w:tcPr>
            <w:tcW w:w="305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7E3A1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用途</w:t>
            </w:r>
          </w:p>
        </w:tc>
      </w:tr>
      <w:tr w14:paraId="2F1AA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FE8ABF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2C6CE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笔记本电脑</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AE3CC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联想/戴尔</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372EE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D21B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代码开发、文档编写</w:t>
            </w:r>
          </w:p>
        </w:tc>
      </w:tr>
      <w:tr w14:paraId="35A73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561C6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24EAB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开发测试服务器</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EAF83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IBM/Lenovo</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B793C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196FD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开发环境部署</w:t>
            </w:r>
          </w:p>
        </w:tc>
      </w:tr>
      <w:tr w14:paraId="5C08F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371799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C063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数据库测试服务器</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32BD2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自配</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13BB5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D7136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MySQL/Redis功能测试、主从模拟</w:t>
            </w:r>
          </w:p>
        </w:tc>
      </w:tr>
      <w:tr w14:paraId="61CAF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A70B19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6E649E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开发环境</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80945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Java JDK、Eclipse IDE</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A72061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1套</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B9181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软件开发</w:t>
            </w:r>
          </w:p>
        </w:tc>
      </w:tr>
      <w:tr w14:paraId="1B92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71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50C17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5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04ABAA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网络设备</w:t>
            </w:r>
          </w:p>
        </w:tc>
        <w:tc>
          <w:tcPr>
            <w:tcW w:w="219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E0FC21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H3C交换机</w:t>
            </w:r>
          </w:p>
        </w:tc>
        <w:tc>
          <w:tcPr>
            <w:tcW w:w="71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00A5FC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1台</w:t>
            </w:r>
          </w:p>
        </w:tc>
        <w:tc>
          <w:tcPr>
            <w:tcW w:w="305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697872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测试网络连接</w:t>
            </w:r>
          </w:p>
        </w:tc>
      </w:tr>
    </w:tbl>
    <w:p w14:paraId="45313401">
      <w:pPr>
        <w:pStyle w:val="32"/>
        <w:bidi w:val="0"/>
      </w:pPr>
      <w:r>
        <w:t>以上设备主要为公司现有资产，新增1台数据库测试服务器用于主从同步测试，已按计划配置到位。</w:t>
      </w:r>
    </w:p>
    <w:p w14:paraId="70F0B03B">
      <w:pPr>
        <w:pStyle w:val="33"/>
        <w:bidi w:val="0"/>
      </w:pPr>
      <w:bookmarkStart w:id="164" w:name="_Toc25224"/>
      <w:bookmarkStart w:id="165" w:name="heading_17"/>
      <w:r>
        <w:t>研发成果总结</w:t>
      </w:r>
      <w:bookmarkEnd w:id="164"/>
      <w:bookmarkEnd w:id="165"/>
    </w:p>
    <w:p w14:paraId="576A2377">
      <w:pPr>
        <w:pStyle w:val="34"/>
        <w:bidi w:val="0"/>
      </w:pPr>
      <w:bookmarkStart w:id="166" w:name="_Toc3569"/>
      <w:bookmarkStart w:id="167" w:name="heading_18"/>
      <w:r>
        <w:t>成果清单</w:t>
      </w:r>
      <w:bookmarkEnd w:id="166"/>
      <w:bookmarkEnd w:id="167"/>
    </w:p>
    <w:p w14:paraId="6269D5F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8" w:name="_Toc18373"/>
      <w:r>
        <w:rPr>
          <w:rFonts w:hint="eastAsia"/>
          <w:lang w:val="en-US" w:eastAsia="zh-CN"/>
        </w:rPr>
        <w:t xml:space="preserve"> 研发成果</w:t>
      </w:r>
      <w:bookmarkEnd w:id="168"/>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87"/>
        <w:gridCol w:w="1324"/>
        <w:gridCol w:w="4712"/>
        <w:gridCol w:w="1457"/>
      </w:tblGrid>
      <w:tr w14:paraId="48677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8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181007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32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FF9CF4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成果类型</w:t>
            </w:r>
          </w:p>
        </w:tc>
        <w:tc>
          <w:tcPr>
            <w:tcW w:w="471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B1102F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成果名称</w:t>
            </w:r>
          </w:p>
        </w:tc>
        <w:tc>
          <w:tcPr>
            <w:tcW w:w="145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78D6C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0FAC7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C9776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B0E33E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9A98E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数据库监控模块（MySQL/Redis监控）</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0F8B93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3B003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A77D99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2951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A65F55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慢SQL查询分析功能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9CFC6D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14A28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6E4300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7A8FA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522AA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索引优化分析功能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AA3F35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13885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D283C3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6F8529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24D3E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智能告警功能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7AF7D2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7C2F8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BE99F2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40E6E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E8DE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MySQL数据库运维手册</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99620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r w14:paraId="38795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32C7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0BD31E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1E73D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MySQL数据库常见问题手册</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1B16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r w14:paraId="28157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A90E27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7</w:t>
            </w:r>
          </w:p>
        </w:tc>
        <w:tc>
          <w:tcPr>
            <w:tcW w:w="132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3E6757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CF2A35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MySQL慢SQL分析手册</w:t>
            </w:r>
          </w:p>
        </w:tc>
        <w:tc>
          <w:tcPr>
            <w:tcW w:w="145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40949F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bl>
    <w:p w14:paraId="78F3E653">
      <w:pPr>
        <w:pStyle w:val="34"/>
        <w:bidi w:val="0"/>
      </w:pPr>
      <w:bookmarkStart w:id="169" w:name="_Toc9720"/>
      <w:r>
        <w:t>应用成效</w:t>
      </w:r>
      <w:bookmarkEnd w:id="169"/>
    </w:p>
    <w:p w14:paraId="30CBBFB0">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数据库监控模块已完成研发并投入应用，取得了以下成效：</w:t>
      </w:r>
    </w:p>
    <w:p w14:paraId="2FB485F7">
      <w:pPr>
        <w:pStyle w:val="42"/>
        <w:numPr>
          <w:ilvl w:val="0"/>
          <w:numId w:val="9"/>
        </w:numPr>
        <w:bidi w:val="0"/>
        <w:ind w:left="425" w:leftChars="0" w:hanging="425" w:firstLineChars="0"/>
      </w:pPr>
      <w:r>
        <w:t>监控覆盖面提升：实现了对MySQL、Redis数据库的全面监控，补齐了数据库层面的监控短板</w:t>
      </w:r>
    </w:p>
    <w:p w14:paraId="27A2E950">
      <w:pPr>
        <w:pStyle w:val="42"/>
        <w:numPr>
          <w:ilvl w:val="0"/>
          <w:numId w:val="9"/>
        </w:numPr>
        <w:bidi w:val="0"/>
        <w:ind w:left="425" w:leftChars="0" w:hanging="425" w:firstLineChars="0"/>
      </w:pPr>
      <w:r>
        <w:t>故障发现及时：通过实时监控和智能告警，数据库异常可在分钟内被发现</w:t>
      </w:r>
    </w:p>
    <w:p w14:paraId="5B2B9E34">
      <w:pPr>
        <w:pStyle w:val="42"/>
        <w:numPr>
          <w:ilvl w:val="0"/>
          <w:numId w:val="9"/>
        </w:numPr>
        <w:bidi w:val="0"/>
        <w:ind w:left="425" w:leftChars="0" w:hanging="425" w:firstLineChars="0"/>
      </w:pPr>
      <w:r>
        <w:t>问题定位精准：慢SQL分析和索引优化功能帮助快速定位性能瓶颈</w:t>
      </w:r>
    </w:p>
    <w:p w14:paraId="3D8714D3">
      <w:pPr>
        <w:pStyle w:val="42"/>
        <w:numPr>
          <w:ilvl w:val="0"/>
          <w:numId w:val="9"/>
        </w:numPr>
        <w:bidi w:val="0"/>
        <w:ind w:left="425" w:leftChars="0" w:hanging="425" w:firstLineChars="0"/>
      </w:pPr>
      <w:r>
        <w:t>运维效率提高：统一监控平台减少了多工具切换的繁琐，提升了运维效率</w:t>
      </w:r>
    </w:p>
    <w:p w14:paraId="45A45BFC">
      <w:pPr>
        <w:pStyle w:val="34"/>
        <w:bidi w:val="0"/>
      </w:pPr>
      <w:bookmarkStart w:id="170" w:name="_Toc13263"/>
      <w:r>
        <w:t>后续计划</w:t>
      </w:r>
      <w:bookmarkEnd w:id="170"/>
    </w:p>
    <w:p w14:paraId="2BE9283F">
      <w:pPr>
        <w:pStyle w:val="32"/>
        <w:bidi w:val="0"/>
      </w:pPr>
      <w:r>
        <w:t>持续收集用户反馈，优化监控功能和告警准确率</w:t>
      </w:r>
    </w:p>
    <w:p w14:paraId="472CEB4B">
      <w:pPr>
        <w:pStyle w:val="32"/>
        <w:bidi w:val="0"/>
      </w:pPr>
      <w:r>
        <w:t>研究扩展对其他数据库（如MongoDB、Oracle）的监控支持</w:t>
      </w:r>
    </w:p>
    <w:p w14:paraId="4B6966FB">
      <w:pPr>
        <w:pStyle w:val="32"/>
        <w:bidi w:val="0"/>
      </w:pPr>
      <w:r>
        <w:t>探索基于AI的智能诊断和自动优化能力</w:t>
      </w:r>
    </w:p>
    <w:p w14:paraId="478BB72C">
      <w:pPr>
        <w:pStyle w:val="31"/>
        <w:bidi w:val="0"/>
        <w:rPr>
          <w:rFonts w:hint="default"/>
          <w:lang w:val="en-US" w:eastAsia="zh-CN"/>
        </w:rPr>
      </w:pPr>
      <w:r>
        <w:rPr>
          <w:rFonts w:hint="default"/>
          <w:lang w:val="en-US" w:eastAsia="zh-CN"/>
        </w:rPr>
        <w:t>交付管理报告</w:t>
      </w:r>
    </w:p>
    <w:p w14:paraId="26B8C514">
      <w:pPr>
        <w:pStyle w:val="32"/>
        <w:rPr>
          <w:rFonts w:hint="default"/>
          <w:lang w:val="en-US" w:eastAsia="zh-CN"/>
        </w:rPr>
      </w:pPr>
      <w:r>
        <w:rPr>
          <w:rFonts w:hint="default"/>
          <w:lang w:val="en-US" w:eastAsia="zh-CN"/>
        </w:rPr>
        <w:t>2025年度，公司依据《运维服务交付管理制度》，采用PDCA循环管理模式，通过交付策划、交付实施、交付检查、交付改进四个核心环节，实现服务交付质量的闭环管控。</w:t>
      </w:r>
      <w:r>
        <w:rPr>
          <w:rFonts w:hint="eastAsia"/>
          <w:lang w:val="en-US" w:eastAsia="zh-CN"/>
        </w:rPr>
        <w:t>所有项目全都一次性交付成功。</w:t>
      </w:r>
    </w:p>
    <w:p w14:paraId="0F739E78">
      <w:pPr>
        <w:pStyle w:val="31"/>
        <w:bidi w:val="0"/>
        <w:rPr>
          <w:rFonts w:hint="default"/>
          <w:lang w:val="en-US" w:eastAsia="zh-CN"/>
        </w:rPr>
      </w:pPr>
      <w:r>
        <w:rPr>
          <w:rFonts w:hint="default"/>
          <w:lang w:val="en-US" w:eastAsia="zh-CN"/>
        </w:rPr>
        <w:t>应急管理报告</w:t>
      </w:r>
    </w:p>
    <w:p w14:paraId="75EF05FA">
      <w:pPr>
        <w:pStyle w:val="32"/>
        <w:rPr>
          <w:rFonts w:hint="default"/>
          <w:lang w:val="en-US" w:eastAsia="zh-CN"/>
        </w:rPr>
      </w:pPr>
      <w:r>
        <w:rPr>
          <w:rFonts w:hint="default"/>
          <w:lang w:val="en-US" w:eastAsia="zh-CN"/>
        </w:rPr>
        <w:t>2025年度，公司依据《运维服务应急管理制度》，建立统一的应急响应管理体系。完成企业门店ERP统一管理系统应急预案编制，经审批后发布。2025年6月</w:t>
      </w:r>
      <w:r>
        <w:rPr>
          <w:rFonts w:hint="eastAsia"/>
          <w:lang w:val="en-US" w:eastAsia="zh-CN"/>
        </w:rPr>
        <w:t>完成应急演练</w:t>
      </w:r>
      <w:r>
        <w:rPr>
          <w:rFonts w:hint="default"/>
          <w:lang w:val="en-US" w:eastAsia="zh-CN"/>
        </w:rPr>
        <w:t>。</w:t>
      </w:r>
      <w:r>
        <w:rPr>
          <w:rFonts w:hint="eastAsia"/>
          <w:lang w:val="en-US" w:eastAsia="zh-CN"/>
        </w:rPr>
        <w:t>达到年度应急演练次数≥1的指标要求。</w:t>
      </w:r>
    </w:p>
    <w:p w14:paraId="5D789721">
      <w:pPr>
        <w:pStyle w:val="31"/>
        <w:bidi w:val="0"/>
        <w:rPr>
          <w:rFonts w:hint="default"/>
          <w:lang w:val="en-US" w:eastAsia="zh-CN"/>
        </w:rPr>
      </w:pPr>
      <w:r>
        <w:rPr>
          <w:rFonts w:hint="default"/>
          <w:lang w:val="en-US" w:eastAsia="zh-CN"/>
        </w:rPr>
        <w:t>质量管理报告</w:t>
      </w:r>
    </w:p>
    <w:p w14:paraId="7D141969">
      <w:pPr>
        <w:pStyle w:val="33"/>
        <w:bidi w:val="0"/>
        <w:rPr>
          <w:rFonts w:hint="eastAsia"/>
          <w:lang w:val="en-US" w:eastAsia="zh-CN"/>
        </w:rPr>
      </w:pPr>
      <w:r>
        <w:rPr>
          <w:rFonts w:hint="eastAsia"/>
          <w:lang w:val="en-US" w:eastAsia="zh-CN"/>
        </w:rPr>
        <w:t>内审报告</w:t>
      </w:r>
    </w:p>
    <w:p w14:paraId="18CBEEBD">
      <w:pPr>
        <w:pStyle w:val="32"/>
        <w:rPr>
          <w:rFonts w:hint="eastAsia"/>
          <w:lang w:val="en-US" w:eastAsia="zh-CN"/>
        </w:rPr>
      </w:pPr>
      <w:r>
        <w:rPr>
          <w:rFonts w:hint="eastAsia"/>
          <w:lang w:val="en-US" w:eastAsia="zh-CN"/>
        </w:rPr>
        <w:t>在2025年12月16日进行内审的过程中发现了一项不符合，为一般不符合。已经进行改进，改进措施如下：</w:t>
      </w:r>
    </w:p>
    <w:p w14:paraId="0282B77F">
      <w:pPr>
        <w:pStyle w:val="32"/>
        <w:numPr>
          <w:ilvl w:val="0"/>
          <w:numId w:val="10"/>
        </w:numPr>
        <w:bidi w:val="0"/>
        <w:ind w:left="425" w:leftChars="0" w:hanging="425" w:firstLineChars="0"/>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14:paraId="18A0FEEE">
      <w:pPr>
        <w:pStyle w:val="32"/>
        <w:numPr>
          <w:ilvl w:val="0"/>
          <w:numId w:val="10"/>
        </w:numPr>
        <w:bidi w:val="0"/>
        <w:ind w:left="425" w:leftChars="0" w:hanging="425" w:firstLineChars="0"/>
        <w:rPr>
          <w:rFonts w:hint="eastAsia"/>
        </w:rPr>
      </w:pPr>
      <w:r>
        <w:rPr>
          <w:rFonts w:hint="eastAsia"/>
        </w:rPr>
        <w:t>组织相关人员培训，确保制度要求落实；</w:t>
      </w:r>
    </w:p>
    <w:p w14:paraId="4279C69D">
      <w:pPr>
        <w:pStyle w:val="32"/>
        <w:numPr>
          <w:ilvl w:val="0"/>
          <w:numId w:val="10"/>
        </w:numPr>
        <w:bidi w:val="0"/>
        <w:ind w:left="425" w:leftChars="0" w:hanging="425" w:firstLineChars="0"/>
        <w:rPr>
          <w:rFonts w:hint="eastAsia"/>
        </w:rPr>
      </w:pPr>
      <w:r>
        <w:rPr>
          <w:rFonts w:hint="eastAsia"/>
        </w:rPr>
        <w:t>编制《运维工具使用效果自评估报告》的模板；</w:t>
      </w:r>
    </w:p>
    <w:p w14:paraId="6B527C18">
      <w:pPr>
        <w:pStyle w:val="32"/>
        <w:numPr>
          <w:ilvl w:val="0"/>
          <w:numId w:val="10"/>
        </w:numPr>
        <w:bidi w:val="0"/>
        <w:ind w:left="425" w:leftChars="0" w:hanging="425" w:firstLineChars="0"/>
      </w:pPr>
      <w:r>
        <w:rPr>
          <w:rFonts w:hint="eastAsia"/>
        </w:rPr>
        <w:t>将工具效果评估纳入运维部例行工作，由产品质量部跟踪验证。</w:t>
      </w:r>
    </w:p>
    <w:p w14:paraId="2BEE19AD">
      <w:pPr>
        <w:pStyle w:val="32"/>
        <w:rPr>
          <w:rFonts w:hint="default"/>
          <w:lang w:val="en-US" w:eastAsia="zh-CN"/>
        </w:rPr>
      </w:pPr>
      <w:r>
        <w:rPr>
          <w:rFonts w:hint="default"/>
          <w:lang w:val="en-US" w:eastAsia="zh-CN"/>
        </w:rPr>
        <w:t>经产品质量部验证，整改措施有效，不符合项已关闭。防止再发生的长期措施（制度修订、培训、纳入例行工作）按计划推进中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在2026年度第一季度进行培训</w:t>
      </w:r>
      <w:r>
        <w:rPr>
          <w:rFonts w:hint="default"/>
          <w:lang w:val="en-US" w:eastAsia="zh-CN"/>
        </w:rPr>
        <w:t>。</w:t>
      </w:r>
    </w:p>
    <w:p w14:paraId="5AB6194E">
      <w:pPr>
        <w:pStyle w:val="33"/>
        <w:bidi w:val="0"/>
        <w:rPr>
          <w:rFonts w:hint="eastAsia"/>
          <w:lang w:val="en-US" w:eastAsia="zh-CN"/>
        </w:rPr>
      </w:pPr>
      <w:r>
        <w:rPr>
          <w:rFonts w:hint="eastAsia"/>
          <w:lang w:val="en-US" w:eastAsia="zh-CN"/>
        </w:rPr>
        <w:t>管评报告</w:t>
      </w:r>
    </w:p>
    <w:p w14:paraId="3F0E225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2025年公司</w:t>
      </w:r>
      <w:r>
        <w:rPr>
          <w:rFonts w:hint="eastAsia"/>
          <w:lang w:val="en-US" w:eastAsia="zh-CN"/>
        </w:rPr>
        <w:t>按规定</w:t>
      </w:r>
      <w:r>
        <w:t>对运维服务进行了质量检查，</w:t>
      </w:r>
      <w:r>
        <w:rPr>
          <w:rFonts w:hint="eastAsia"/>
          <w:lang w:val="en-US" w:eastAsia="zh-CN"/>
        </w:rPr>
        <w:t>发现2025年第二季度的服务数据考核指标在数据完整性上为95%，不满足考核指标的要求。</w:t>
      </w:r>
    </w:p>
    <w:p w14:paraId="1FA8D8C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针对服务数据考核指标不满足的情况（2025年第二季度数据完整性为95%，未达标），综合部积极组织人员进行培训，由运维部经理宣贯《服务数据管理制度》，由产品质量部进行跟踪。经分析，原因为部分历史数据存在字段缺失，运维部已组织数据清洗，完善数据录入规范。2025年第三、四季度数据完整性已提升至100%和100%，问题得到解决。</w:t>
      </w:r>
    </w:p>
    <w:p w14:paraId="1963D297">
      <w:pPr>
        <w:pStyle w:val="33"/>
        <w:bidi w:val="0"/>
        <w:rPr>
          <w:rFonts w:hint="default"/>
          <w:lang w:val="en-US" w:eastAsia="zh-CN"/>
        </w:rPr>
      </w:pPr>
      <w:r>
        <w:rPr>
          <w:rFonts w:hint="eastAsia"/>
          <w:lang w:val="en-US" w:eastAsia="zh-CN"/>
        </w:rPr>
        <w:t>满意度调查报告</w:t>
      </w:r>
    </w:p>
    <w:p w14:paraId="76D3D3AC">
      <w:pPr>
        <w:pStyle w:val="32"/>
        <w:bidi w:val="0"/>
      </w:pPr>
      <w:r>
        <w:t>产品质量部专员在2025年1</w:t>
      </w:r>
      <w:r>
        <w:rPr>
          <w:rFonts w:hint="eastAsia"/>
          <w:lang w:val="en-US" w:eastAsia="zh-CN"/>
        </w:rPr>
        <w:t>2</w:t>
      </w:r>
      <w:r>
        <w:t>月10日-14日进行了年度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14:paraId="4466F3EE">
      <w:pPr>
        <w:pStyle w:val="32"/>
        <w:bidi w:val="0"/>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14:paraId="37203701">
      <w:pPr>
        <w:pStyle w:val="32"/>
        <w:bidi w:val="0"/>
      </w:pPr>
      <w:r>
        <w:t>2025年1月至2025年1</w:t>
      </w:r>
      <w:r>
        <w:rPr>
          <w:rFonts w:hint="eastAsia"/>
          <w:lang w:val="en-US" w:eastAsia="zh-CN"/>
        </w:rPr>
        <w:t>2月底</w:t>
      </w:r>
      <w:r>
        <w:t>，客户投诉0次，运维服务得到客户认可。</w:t>
      </w:r>
    </w:p>
    <w:p w14:paraId="42F7C6B3">
      <w:pPr>
        <w:pStyle w:val="32"/>
        <w:bidi w:val="0"/>
      </w:pPr>
      <w:r>
        <w:t>在运维人员的技术水平方面，部分客户反馈运维工程师在处理复杂故障时响应速度和技术能力有待提升。在沟通能力方面，个别运维人员与客户沟通时信息传递不够清晰，需加强沟通技巧的培训。</w:t>
      </w:r>
    </w:p>
    <w:p w14:paraId="55BDE482">
      <w:pPr>
        <w:pStyle w:val="32"/>
        <w:bidi w:val="0"/>
        <w:rPr>
          <w:rFonts w:hint="default"/>
          <w:lang w:val="en-US" w:eastAsia="zh-CN"/>
        </w:rPr>
      </w:pPr>
      <w:bookmarkStart w:id="171" w:name="_Toc27586"/>
      <w:r>
        <w:rPr>
          <w:rFonts w:hint="eastAsia"/>
          <w:lang w:val="en-US" w:eastAsia="zh-CN"/>
        </w:rPr>
        <w:t>满意度调查改进</w:t>
      </w:r>
      <w:bookmarkEnd w:id="171"/>
      <w:r>
        <w:rPr>
          <w:rFonts w:hint="eastAsia"/>
          <w:lang w:val="en-US" w:eastAsia="zh-CN"/>
        </w:rPr>
        <w:t>：</w:t>
      </w:r>
    </w:p>
    <w:p w14:paraId="766A0AC1">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加强对运维工程师技术能力的培训，定期组织技术交流和案例分享</w:t>
      </w:r>
    </w:p>
    <w:p w14:paraId="428FC193">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加强运维工程师沟通技能的培训，规范客户沟通话术</w:t>
      </w:r>
    </w:p>
    <w:p w14:paraId="1A90ECDC">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每季度对改进效果进行跟踪评估，纳入绩效考核</w:t>
      </w:r>
    </w:p>
    <w:p w14:paraId="5EB91980">
      <w:pPr>
        <w:pStyle w:val="3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CCEA"/>
    <w:multiLevelType w:val="singleLevel"/>
    <w:tmpl w:val="8358CCEA"/>
    <w:lvl w:ilvl="0" w:tentative="0">
      <w:start w:val="1"/>
      <w:numFmt w:val="decimal"/>
      <w:lvlText w:val="%1."/>
      <w:lvlJc w:val="left"/>
      <w:pPr>
        <w:ind w:left="425" w:hanging="425"/>
      </w:pPr>
      <w:rPr>
        <w:rFonts w:hint="default"/>
      </w:rPr>
    </w:lvl>
  </w:abstractNum>
  <w:abstractNum w:abstractNumId="1">
    <w:nsid w:val="8A0DBF5E"/>
    <w:multiLevelType w:val="singleLevel"/>
    <w:tmpl w:val="8A0DBF5E"/>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C766528"/>
    <w:multiLevelType w:val="singleLevel"/>
    <w:tmpl w:val="9C766528"/>
    <w:lvl w:ilvl="0" w:tentative="0">
      <w:start w:val="1"/>
      <w:numFmt w:val="decimal"/>
      <w:lvlText w:val="%1."/>
      <w:lvlJc w:val="left"/>
      <w:pPr>
        <w:ind w:left="425" w:hanging="425"/>
      </w:pPr>
      <w:rPr>
        <w:rFonts w:hint="default"/>
      </w:rPr>
    </w:lvl>
  </w:abstractNum>
  <w:abstractNum w:abstractNumId="4">
    <w:nsid w:val="9F7576FD"/>
    <w:multiLevelType w:val="singleLevel"/>
    <w:tmpl w:val="9F7576FD"/>
    <w:lvl w:ilvl="0" w:tentative="0">
      <w:start w:val="1"/>
      <w:numFmt w:val="decimal"/>
      <w:lvlText w:val="%1."/>
      <w:lvlJc w:val="left"/>
      <w:pPr>
        <w:ind w:left="425" w:hanging="425"/>
      </w:pPr>
      <w:rPr>
        <w:rFonts w:hint="default"/>
      </w:rPr>
    </w:lvl>
  </w:abstractNum>
  <w:abstractNum w:abstractNumId="5">
    <w:nsid w:val="A99E3BB3"/>
    <w:multiLevelType w:val="singleLevel"/>
    <w:tmpl w:val="A99E3BB3"/>
    <w:lvl w:ilvl="0" w:tentative="0">
      <w:start w:val="1"/>
      <w:numFmt w:val="decimal"/>
      <w:lvlText w:val="%1."/>
      <w:lvlJc w:val="left"/>
      <w:pPr>
        <w:ind w:left="425" w:hanging="425"/>
      </w:pPr>
      <w:rPr>
        <w:rFonts w:hint="default"/>
      </w:rPr>
    </w:lvl>
  </w:abstractNum>
  <w:abstractNum w:abstractNumId="6">
    <w:nsid w:val="D8195BE3"/>
    <w:multiLevelType w:val="singleLevel"/>
    <w:tmpl w:val="D8195BE3"/>
    <w:lvl w:ilvl="0" w:tentative="0">
      <w:start w:val="1"/>
      <w:numFmt w:val="decimal"/>
      <w:lvlText w:val="%1."/>
      <w:lvlJc w:val="left"/>
      <w:pPr>
        <w:ind w:left="425" w:hanging="425"/>
      </w:pPr>
      <w:rPr>
        <w:rFonts w:hint="default"/>
      </w:rPr>
    </w:lvl>
  </w:abstractNum>
  <w:abstractNum w:abstractNumId="7">
    <w:nsid w:val="36CA819F"/>
    <w:multiLevelType w:val="singleLevel"/>
    <w:tmpl w:val="36CA819F"/>
    <w:lvl w:ilvl="0" w:tentative="0">
      <w:start w:val="1"/>
      <w:numFmt w:val="decimal"/>
      <w:lvlText w:val="%1."/>
      <w:lvlJc w:val="left"/>
      <w:pPr>
        <w:ind w:left="425" w:hanging="425"/>
      </w:pPr>
      <w:rPr>
        <w:rFonts w:hint="default"/>
      </w:rPr>
    </w:lvl>
  </w:abstractNum>
  <w:abstractNum w:abstractNumId="8">
    <w:nsid w:val="3B422474"/>
    <w:multiLevelType w:val="singleLevel"/>
    <w:tmpl w:val="3B422474"/>
    <w:lvl w:ilvl="0" w:tentative="0">
      <w:start w:val="1"/>
      <w:numFmt w:val="decimal"/>
      <w:lvlText w:val="%1."/>
      <w:lvlJc w:val="left"/>
      <w:pPr>
        <w:ind w:left="425" w:hanging="425"/>
      </w:pPr>
      <w:rPr>
        <w:rFonts w:hint="default"/>
      </w:rPr>
    </w:lvl>
  </w:abstractNum>
  <w:abstractNum w:abstractNumId="9">
    <w:nsid w:val="4FD7EC99"/>
    <w:multiLevelType w:val="singleLevel"/>
    <w:tmpl w:val="4FD7EC99"/>
    <w:lvl w:ilvl="0" w:tentative="0">
      <w:start w:val="1"/>
      <w:numFmt w:val="decimal"/>
      <w:lvlText w:val="%1."/>
      <w:lvlJc w:val="left"/>
      <w:pPr>
        <w:ind w:left="425" w:hanging="425"/>
      </w:pPr>
      <w:rPr>
        <w:rFonts w:hint="default"/>
      </w:rPr>
    </w:lvl>
  </w:abstractNum>
  <w:abstractNum w:abstractNumId="10">
    <w:nsid w:val="65A9BEE4"/>
    <w:multiLevelType w:val="singleLevel"/>
    <w:tmpl w:val="65A9BEE4"/>
    <w:lvl w:ilvl="0" w:tentative="0">
      <w:start w:val="1"/>
      <w:numFmt w:val="decimal"/>
      <w:lvlText w:val="%1."/>
      <w:lvlJc w:val="left"/>
      <w:pPr>
        <w:ind w:left="425" w:hanging="425"/>
      </w:pPr>
      <w:rPr>
        <w:rFonts w:hint="default"/>
      </w:rPr>
    </w:lvl>
  </w:abstractNum>
  <w:num w:numId="1">
    <w:abstractNumId w:val="2"/>
  </w:num>
  <w:num w:numId="2">
    <w:abstractNumId w:val="7"/>
  </w:num>
  <w:num w:numId="3">
    <w:abstractNumId w:val="1"/>
  </w:num>
  <w:num w:numId="4">
    <w:abstractNumId w:val="10"/>
  </w:num>
  <w:num w:numId="5">
    <w:abstractNumId w:val="8"/>
  </w:num>
  <w:num w:numId="6">
    <w:abstractNumId w:val="5"/>
  </w:num>
  <w:num w:numId="7">
    <w:abstractNumId w:val="6"/>
  </w:num>
  <w:num w:numId="8">
    <w:abstractNumId w:val="9"/>
  </w:num>
  <w:num w:numId="9">
    <w:abstractNumId w:val="3"/>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B3217A"/>
    <w:rsid w:val="23BD5693"/>
    <w:rsid w:val="73FF1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1851</Words>
  <Characters>2320</Characters>
  <Lines>0</Lines>
  <Paragraphs>0</Paragraphs>
  <TotalTime>1</TotalTime>
  <ScaleCrop>false</ScaleCrop>
  <LinksUpToDate>false</LinksUpToDate>
  <CharactersWithSpaces>2430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2026-06-09T17:14:11Z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