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8E360">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13EADB57">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2026年度运维服务能力管理计划</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58CAA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D1C348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4944D7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HFSJ-ITSS-0308</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C2BBA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06C9F6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0070A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C6ED04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938001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84DBDD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2DAF89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2AD146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D3AD34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00F6F1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A4A1EE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1FCDF7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27B1D6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57D428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1649B2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4968B8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E1D8E3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15617C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BEDA50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0A00AB0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21D4AC7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58661E1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70466FD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3292E9B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4F903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33129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C1ADC1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E3966B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19F67F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79502F5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4514F8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38966E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95F4A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69F0BD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87822C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0DA43C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76ECC8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DB93FB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43E245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8E809B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440DC7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97D6B6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01CB5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108AAC1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E93759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DB555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74E8FE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C105E9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16CC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305AC8D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BF131F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A9C27F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D03F31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161A37D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3846F913">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A6D3B95">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378949D3">
          <w:pPr>
            <w:pStyle w:val="17"/>
            <w:tabs>
              <w:tab w:val="right" w:leader="dot" w:pos="8306"/>
            </w:tabs>
          </w:pPr>
          <w:r>
            <w:fldChar w:fldCharType="begin"/>
          </w:r>
          <w:r>
            <w:instrText xml:space="preserve">TOC \o "1-3" \h \u </w:instrText>
          </w:r>
          <w:r>
            <w:fldChar w:fldCharType="separate"/>
          </w:r>
          <w:r>
            <w:fldChar w:fldCharType="begin"/>
          </w:r>
          <w:r>
            <w:instrText xml:space="preserve"> HYPERLINK \l _Toc112 </w:instrText>
          </w:r>
          <w:r>
            <w:fldChar w:fldCharType="separate"/>
          </w:r>
          <w:r>
            <w:rPr>
              <w:rFonts w:hint="default"/>
              <w:lang w:val="en-US" w:eastAsia="zh-CN"/>
            </w:rPr>
            <w:t>1. 公司现状分析</w:t>
          </w:r>
          <w:r>
            <w:tab/>
          </w:r>
          <w:r>
            <w:fldChar w:fldCharType="begin"/>
          </w:r>
          <w:r>
            <w:instrText xml:space="preserve"> PAGEREF _Toc112 \h </w:instrText>
          </w:r>
          <w:r>
            <w:fldChar w:fldCharType="separate"/>
          </w:r>
          <w:r>
            <w:t>6</w:t>
          </w:r>
          <w:r>
            <w:fldChar w:fldCharType="end"/>
          </w:r>
          <w:r>
            <w:fldChar w:fldCharType="end"/>
          </w:r>
        </w:p>
        <w:p w14:paraId="5CBC239E">
          <w:pPr>
            <w:pStyle w:val="19"/>
            <w:tabs>
              <w:tab w:val="right" w:leader="dot" w:pos="8306"/>
            </w:tabs>
          </w:pPr>
          <w:r>
            <w:fldChar w:fldCharType="begin"/>
          </w:r>
          <w:r>
            <w:instrText xml:space="preserve"> HYPERLINK \l _Toc14196 </w:instrText>
          </w:r>
          <w:r>
            <w:fldChar w:fldCharType="separate"/>
          </w:r>
          <w:r>
            <w:rPr>
              <w:rFonts w:hint="default"/>
              <w:lang w:val="en-US" w:eastAsia="zh-CN"/>
            </w:rPr>
            <w:t>1.1. 优势分析</w:t>
          </w:r>
          <w:r>
            <w:tab/>
          </w:r>
          <w:r>
            <w:fldChar w:fldCharType="begin"/>
          </w:r>
          <w:r>
            <w:instrText xml:space="preserve"> PAGEREF _Toc14196 \h </w:instrText>
          </w:r>
          <w:r>
            <w:fldChar w:fldCharType="separate"/>
          </w:r>
          <w:r>
            <w:t>6</w:t>
          </w:r>
          <w:r>
            <w:fldChar w:fldCharType="end"/>
          </w:r>
          <w:r>
            <w:fldChar w:fldCharType="end"/>
          </w:r>
        </w:p>
        <w:p w14:paraId="5B085FAF">
          <w:pPr>
            <w:pStyle w:val="19"/>
            <w:tabs>
              <w:tab w:val="right" w:leader="dot" w:pos="8306"/>
            </w:tabs>
          </w:pPr>
          <w:r>
            <w:fldChar w:fldCharType="begin"/>
          </w:r>
          <w:r>
            <w:instrText xml:space="preserve"> HYPERLINK \l _Toc17389 </w:instrText>
          </w:r>
          <w:r>
            <w:fldChar w:fldCharType="separate"/>
          </w:r>
          <w:r>
            <w:rPr>
              <w:rFonts w:hint="default"/>
              <w:lang w:val="en-US" w:eastAsia="zh-CN"/>
            </w:rPr>
            <w:t>1.2. 待改进方面</w:t>
          </w:r>
          <w:r>
            <w:tab/>
          </w:r>
          <w:r>
            <w:fldChar w:fldCharType="begin"/>
          </w:r>
          <w:r>
            <w:instrText xml:space="preserve"> PAGEREF _Toc17389 \h </w:instrText>
          </w:r>
          <w:r>
            <w:fldChar w:fldCharType="separate"/>
          </w:r>
          <w:r>
            <w:t>6</w:t>
          </w:r>
          <w:r>
            <w:fldChar w:fldCharType="end"/>
          </w:r>
          <w:r>
            <w:fldChar w:fldCharType="end"/>
          </w:r>
        </w:p>
        <w:p w14:paraId="1918E5A3">
          <w:pPr>
            <w:pStyle w:val="17"/>
            <w:tabs>
              <w:tab w:val="right" w:leader="dot" w:pos="8306"/>
            </w:tabs>
          </w:pPr>
          <w:r>
            <w:fldChar w:fldCharType="begin"/>
          </w:r>
          <w:r>
            <w:instrText xml:space="preserve"> HYPERLINK \l _Toc24037 </w:instrText>
          </w:r>
          <w:r>
            <w:fldChar w:fldCharType="separate"/>
          </w:r>
          <w:r>
            <w:rPr>
              <w:rFonts w:hint="default"/>
              <w:lang w:val="en-US" w:eastAsia="zh-CN"/>
            </w:rPr>
            <w:t>2. 运维业务分析</w:t>
          </w:r>
          <w:r>
            <w:tab/>
          </w:r>
          <w:r>
            <w:fldChar w:fldCharType="begin"/>
          </w:r>
          <w:r>
            <w:instrText xml:space="preserve"> PAGEREF _Toc24037 \h </w:instrText>
          </w:r>
          <w:r>
            <w:fldChar w:fldCharType="separate"/>
          </w:r>
          <w:r>
            <w:t>7</w:t>
          </w:r>
          <w:r>
            <w:fldChar w:fldCharType="end"/>
          </w:r>
          <w:r>
            <w:fldChar w:fldCharType="end"/>
          </w:r>
        </w:p>
        <w:p w14:paraId="53001A79">
          <w:pPr>
            <w:pStyle w:val="19"/>
            <w:tabs>
              <w:tab w:val="right" w:leader="dot" w:pos="8306"/>
            </w:tabs>
          </w:pPr>
          <w:r>
            <w:fldChar w:fldCharType="begin"/>
          </w:r>
          <w:r>
            <w:instrText xml:space="preserve"> HYPERLINK \l _Toc5635 </w:instrText>
          </w:r>
          <w:r>
            <w:fldChar w:fldCharType="separate"/>
          </w:r>
          <w:r>
            <w:rPr>
              <w:rFonts w:hint="default"/>
              <w:lang w:val="en-US" w:eastAsia="zh-CN"/>
            </w:rPr>
            <w:t>2.1. 开展运维服务的优势</w:t>
          </w:r>
          <w:r>
            <w:tab/>
          </w:r>
          <w:r>
            <w:fldChar w:fldCharType="begin"/>
          </w:r>
          <w:r>
            <w:instrText xml:space="preserve"> PAGEREF _Toc5635 \h </w:instrText>
          </w:r>
          <w:r>
            <w:fldChar w:fldCharType="separate"/>
          </w:r>
          <w:r>
            <w:t>7</w:t>
          </w:r>
          <w:r>
            <w:fldChar w:fldCharType="end"/>
          </w:r>
          <w:r>
            <w:fldChar w:fldCharType="end"/>
          </w:r>
        </w:p>
        <w:p w14:paraId="5661A7EE">
          <w:pPr>
            <w:pStyle w:val="19"/>
            <w:tabs>
              <w:tab w:val="right" w:leader="dot" w:pos="8306"/>
            </w:tabs>
          </w:pPr>
          <w:r>
            <w:fldChar w:fldCharType="begin"/>
          </w:r>
          <w:r>
            <w:instrText xml:space="preserve"> HYPERLINK \l _Toc20232 </w:instrText>
          </w:r>
          <w:r>
            <w:fldChar w:fldCharType="separate"/>
          </w:r>
          <w:r>
            <w:rPr>
              <w:rFonts w:hint="default"/>
              <w:lang w:val="en-US" w:eastAsia="zh-CN"/>
            </w:rPr>
            <w:t>2.2. 开展运维服务的待改进方面</w:t>
          </w:r>
          <w:r>
            <w:tab/>
          </w:r>
          <w:r>
            <w:fldChar w:fldCharType="begin"/>
          </w:r>
          <w:r>
            <w:instrText xml:space="preserve"> PAGEREF _Toc20232 \h </w:instrText>
          </w:r>
          <w:r>
            <w:fldChar w:fldCharType="separate"/>
          </w:r>
          <w:r>
            <w:t>7</w:t>
          </w:r>
          <w:r>
            <w:fldChar w:fldCharType="end"/>
          </w:r>
          <w:r>
            <w:fldChar w:fldCharType="end"/>
          </w:r>
        </w:p>
        <w:p w14:paraId="01FBB0B1">
          <w:pPr>
            <w:pStyle w:val="14"/>
            <w:tabs>
              <w:tab w:val="right" w:leader="dot" w:pos="8306"/>
            </w:tabs>
          </w:pPr>
          <w:r>
            <w:fldChar w:fldCharType="begin"/>
          </w:r>
          <w:r>
            <w:instrText xml:space="preserve"> HYPERLINK \l _Toc25999 </w:instrText>
          </w:r>
          <w:r>
            <w:fldChar w:fldCharType="separate"/>
          </w:r>
          <w:r>
            <w:rPr>
              <w:rFonts w:hint="default"/>
              <w:lang w:val="en-US" w:eastAsia="zh-CN"/>
            </w:rPr>
            <w:t>2.2.1. 人员管理方面</w:t>
          </w:r>
          <w:r>
            <w:tab/>
          </w:r>
          <w:r>
            <w:fldChar w:fldCharType="begin"/>
          </w:r>
          <w:r>
            <w:instrText xml:space="preserve"> PAGEREF _Toc25999 \h </w:instrText>
          </w:r>
          <w:r>
            <w:fldChar w:fldCharType="separate"/>
          </w:r>
          <w:r>
            <w:t>7</w:t>
          </w:r>
          <w:r>
            <w:fldChar w:fldCharType="end"/>
          </w:r>
          <w:r>
            <w:fldChar w:fldCharType="end"/>
          </w:r>
        </w:p>
        <w:p w14:paraId="46CE25CC">
          <w:pPr>
            <w:pStyle w:val="14"/>
            <w:tabs>
              <w:tab w:val="right" w:leader="dot" w:pos="8306"/>
            </w:tabs>
          </w:pPr>
          <w:r>
            <w:fldChar w:fldCharType="begin"/>
          </w:r>
          <w:r>
            <w:instrText xml:space="preserve"> HYPERLINK \l _Toc27684 </w:instrText>
          </w:r>
          <w:r>
            <w:fldChar w:fldCharType="separate"/>
          </w:r>
          <w:r>
            <w:rPr>
              <w:rFonts w:hint="default"/>
              <w:lang w:val="en-US" w:eastAsia="zh-CN"/>
            </w:rPr>
            <w:t>2.2.2. 资源管理方面</w:t>
          </w:r>
          <w:r>
            <w:tab/>
          </w:r>
          <w:r>
            <w:fldChar w:fldCharType="begin"/>
          </w:r>
          <w:r>
            <w:instrText xml:space="preserve"> PAGEREF _Toc27684 \h </w:instrText>
          </w:r>
          <w:r>
            <w:fldChar w:fldCharType="separate"/>
          </w:r>
          <w:r>
            <w:t>7</w:t>
          </w:r>
          <w:r>
            <w:fldChar w:fldCharType="end"/>
          </w:r>
          <w:r>
            <w:fldChar w:fldCharType="end"/>
          </w:r>
        </w:p>
        <w:p w14:paraId="2FB2C718">
          <w:pPr>
            <w:pStyle w:val="14"/>
            <w:tabs>
              <w:tab w:val="right" w:leader="dot" w:pos="8306"/>
            </w:tabs>
          </w:pPr>
          <w:r>
            <w:fldChar w:fldCharType="begin"/>
          </w:r>
          <w:r>
            <w:instrText xml:space="preserve"> HYPERLINK \l _Toc3350 </w:instrText>
          </w:r>
          <w:r>
            <w:fldChar w:fldCharType="separate"/>
          </w:r>
          <w:r>
            <w:rPr>
              <w:rFonts w:hint="default"/>
              <w:lang w:val="en-US" w:eastAsia="zh-CN"/>
            </w:rPr>
            <w:t>2.2.3. 技术管理方面</w:t>
          </w:r>
          <w:r>
            <w:tab/>
          </w:r>
          <w:r>
            <w:fldChar w:fldCharType="begin"/>
          </w:r>
          <w:r>
            <w:instrText xml:space="preserve"> PAGEREF _Toc3350 \h </w:instrText>
          </w:r>
          <w:r>
            <w:fldChar w:fldCharType="separate"/>
          </w:r>
          <w:r>
            <w:t>7</w:t>
          </w:r>
          <w:r>
            <w:fldChar w:fldCharType="end"/>
          </w:r>
          <w:r>
            <w:fldChar w:fldCharType="end"/>
          </w:r>
        </w:p>
        <w:p w14:paraId="28B8AFF4">
          <w:pPr>
            <w:pStyle w:val="14"/>
            <w:tabs>
              <w:tab w:val="right" w:leader="dot" w:pos="8306"/>
            </w:tabs>
          </w:pPr>
          <w:r>
            <w:fldChar w:fldCharType="begin"/>
          </w:r>
          <w:r>
            <w:instrText xml:space="preserve"> HYPERLINK \l _Toc4771 </w:instrText>
          </w:r>
          <w:r>
            <w:fldChar w:fldCharType="separate"/>
          </w:r>
          <w:r>
            <w:rPr>
              <w:rFonts w:hint="default"/>
              <w:lang w:val="en-US" w:eastAsia="zh-CN"/>
            </w:rPr>
            <w:t>2.2.4. 过程管理方面</w:t>
          </w:r>
          <w:r>
            <w:tab/>
          </w:r>
          <w:r>
            <w:fldChar w:fldCharType="begin"/>
          </w:r>
          <w:r>
            <w:instrText xml:space="preserve"> PAGEREF _Toc4771 \h </w:instrText>
          </w:r>
          <w:r>
            <w:fldChar w:fldCharType="separate"/>
          </w:r>
          <w:r>
            <w:t>8</w:t>
          </w:r>
          <w:r>
            <w:fldChar w:fldCharType="end"/>
          </w:r>
          <w:r>
            <w:fldChar w:fldCharType="end"/>
          </w:r>
        </w:p>
        <w:p w14:paraId="4900A766">
          <w:pPr>
            <w:pStyle w:val="17"/>
            <w:tabs>
              <w:tab w:val="right" w:leader="dot" w:pos="8306"/>
            </w:tabs>
          </w:pPr>
          <w:r>
            <w:fldChar w:fldCharType="begin"/>
          </w:r>
          <w:r>
            <w:instrText xml:space="preserve"> HYPERLINK \l _Toc30081 </w:instrText>
          </w:r>
          <w:r>
            <w:fldChar w:fldCharType="separate"/>
          </w:r>
          <w:r>
            <w:rPr>
              <w:rFonts w:hint="default"/>
              <w:lang w:val="en-US" w:eastAsia="zh-CN"/>
            </w:rPr>
            <w:t>3. 年度运维服务能力计划</w:t>
          </w:r>
          <w:r>
            <w:tab/>
          </w:r>
          <w:r>
            <w:fldChar w:fldCharType="begin"/>
          </w:r>
          <w:r>
            <w:instrText xml:space="preserve"> PAGEREF _Toc30081 \h </w:instrText>
          </w:r>
          <w:r>
            <w:fldChar w:fldCharType="separate"/>
          </w:r>
          <w:r>
            <w:t>8</w:t>
          </w:r>
          <w:r>
            <w:fldChar w:fldCharType="end"/>
          </w:r>
          <w:r>
            <w:fldChar w:fldCharType="end"/>
          </w:r>
        </w:p>
        <w:p w14:paraId="27B5DB13">
          <w:pPr>
            <w:pStyle w:val="19"/>
            <w:tabs>
              <w:tab w:val="right" w:leader="dot" w:pos="8306"/>
            </w:tabs>
          </w:pPr>
          <w:r>
            <w:fldChar w:fldCharType="begin"/>
          </w:r>
          <w:r>
            <w:instrText xml:space="preserve"> HYPERLINK \l _Toc11334 </w:instrText>
          </w:r>
          <w:r>
            <w:fldChar w:fldCharType="separate"/>
          </w:r>
          <w:r>
            <w:rPr>
              <w:rFonts w:hint="default"/>
              <w:lang w:val="en-US" w:eastAsia="zh-CN"/>
            </w:rPr>
            <w:t>3.1. 人员管理规划</w:t>
          </w:r>
          <w:r>
            <w:tab/>
          </w:r>
          <w:r>
            <w:fldChar w:fldCharType="begin"/>
          </w:r>
          <w:r>
            <w:instrText xml:space="preserve"> PAGEREF _Toc11334 \h </w:instrText>
          </w:r>
          <w:r>
            <w:fldChar w:fldCharType="separate"/>
          </w:r>
          <w:r>
            <w:t>8</w:t>
          </w:r>
          <w:r>
            <w:fldChar w:fldCharType="end"/>
          </w:r>
          <w:r>
            <w:fldChar w:fldCharType="end"/>
          </w:r>
        </w:p>
        <w:p w14:paraId="1B5A21CD">
          <w:pPr>
            <w:pStyle w:val="14"/>
            <w:tabs>
              <w:tab w:val="right" w:leader="dot" w:pos="8306"/>
            </w:tabs>
          </w:pPr>
          <w:r>
            <w:fldChar w:fldCharType="begin"/>
          </w:r>
          <w:r>
            <w:instrText xml:space="preserve"> HYPERLINK \l _Toc31754 </w:instrText>
          </w:r>
          <w:r>
            <w:fldChar w:fldCharType="separate"/>
          </w:r>
          <w:r>
            <w:rPr>
              <w:rFonts w:hint="default"/>
              <w:lang w:val="en-US" w:eastAsia="zh-CN"/>
            </w:rPr>
            <w:t xml:space="preserve">3.1.1. </w:t>
          </w:r>
          <w:r>
            <w:rPr>
              <w:rFonts w:hint="eastAsia"/>
              <w:lang w:val="en-US" w:eastAsia="zh-CN"/>
            </w:rPr>
            <w:t>人员招聘计划</w:t>
          </w:r>
          <w:r>
            <w:tab/>
          </w:r>
          <w:r>
            <w:fldChar w:fldCharType="begin"/>
          </w:r>
          <w:r>
            <w:instrText xml:space="preserve"> PAGEREF _Toc31754 \h </w:instrText>
          </w:r>
          <w:r>
            <w:fldChar w:fldCharType="separate"/>
          </w:r>
          <w:r>
            <w:t>8</w:t>
          </w:r>
          <w:r>
            <w:fldChar w:fldCharType="end"/>
          </w:r>
          <w:r>
            <w:fldChar w:fldCharType="end"/>
          </w:r>
        </w:p>
        <w:p w14:paraId="75F3E82F">
          <w:pPr>
            <w:pStyle w:val="14"/>
            <w:tabs>
              <w:tab w:val="right" w:leader="dot" w:pos="8306"/>
            </w:tabs>
          </w:pPr>
          <w:r>
            <w:fldChar w:fldCharType="begin"/>
          </w:r>
          <w:r>
            <w:instrText xml:space="preserve"> HYPERLINK \l _Toc14836 </w:instrText>
          </w:r>
          <w:r>
            <w:fldChar w:fldCharType="separate"/>
          </w:r>
          <w:r>
            <w:rPr>
              <w:rFonts w:hint="default"/>
              <w:lang w:val="en-US" w:eastAsia="zh-CN"/>
            </w:rPr>
            <w:t xml:space="preserve">3.1.2. </w:t>
          </w:r>
          <w:r>
            <w:rPr>
              <w:rFonts w:hint="eastAsia"/>
              <w:lang w:val="en-US" w:eastAsia="zh-CN"/>
            </w:rPr>
            <w:t>人员储备计划</w:t>
          </w:r>
          <w:r>
            <w:tab/>
          </w:r>
          <w:r>
            <w:fldChar w:fldCharType="begin"/>
          </w:r>
          <w:r>
            <w:instrText xml:space="preserve"> PAGEREF _Toc14836 \h </w:instrText>
          </w:r>
          <w:r>
            <w:fldChar w:fldCharType="separate"/>
          </w:r>
          <w:r>
            <w:t>8</w:t>
          </w:r>
          <w:r>
            <w:fldChar w:fldCharType="end"/>
          </w:r>
          <w:r>
            <w:fldChar w:fldCharType="end"/>
          </w:r>
        </w:p>
        <w:p w14:paraId="59A927AA">
          <w:pPr>
            <w:pStyle w:val="14"/>
            <w:tabs>
              <w:tab w:val="right" w:leader="dot" w:pos="8306"/>
            </w:tabs>
          </w:pPr>
          <w:r>
            <w:fldChar w:fldCharType="begin"/>
          </w:r>
          <w:r>
            <w:instrText xml:space="preserve"> HYPERLINK \l _Toc7237 </w:instrText>
          </w:r>
          <w:r>
            <w:fldChar w:fldCharType="separate"/>
          </w:r>
          <w:r>
            <w:rPr>
              <w:rFonts w:hint="default"/>
              <w:lang w:val="en-US" w:eastAsia="zh-CN"/>
            </w:rPr>
            <w:t xml:space="preserve">3.1.3. </w:t>
          </w:r>
          <w:r>
            <w:rPr>
              <w:rFonts w:hint="eastAsia"/>
              <w:lang w:val="en-US" w:eastAsia="zh-CN"/>
            </w:rPr>
            <w:t>人员培训计划</w:t>
          </w:r>
          <w:r>
            <w:tab/>
          </w:r>
          <w:r>
            <w:fldChar w:fldCharType="begin"/>
          </w:r>
          <w:r>
            <w:instrText xml:space="preserve"> PAGEREF _Toc7237 \h </w:instrText>
          </w:r>
          <w:r>
            <w:fldChar w:fldCharType="separate"/>
          </w:r>
          <w:r>
            <w:t>9</w:t>
          </w:r>
          <w:r>
            <w:fldChar w:fldCharType="end"/>
          </w:r>
          <w:r>
            <w:fldChar w:fldCharType="end"/>
          </w:r>
        </w:p>
        <w:p w14:paraId="13710F13">
          <w:pPr>
            <w:pStyle w:val="14"/>
            <w:tabs>
              <w:tab w:val="right" w:leader="dot" w:pos="8306"/>
            </w:tabs>
          </w:pPr>
          <w:r>
            <w:fldChar w:fldCharType="begin"/>
          </w:r>
          <w:r>
            <w:instrText xml:space="preserve"> HYPERLINK \l _Toc30225 </w:instrText>
          </w:r>
          <w:r>
            <w:fldChar w:fldCharType="separate"/>
          </w:r>
          <w:r>
            <w:rPr>
              <w:rFonts w:hint="default"/>
              <w:lang w:val="en-US" w:eastAsia="zh-CN"/>
            </w:rPr>
            <w:t xml:space="preserve">3.1.4. </w:t>
          </w:r>
          <w:r>
            <w:rPr>
              <w:rFonts w:hint="eastAsia"/>
              <w:lang w:val="en-US" w:eastAsia="zh-CN"/>
            </w:rPr>
            <w:t>人员备份计划</w:t>
          </w:r>
          <w:r>
            <w:tab/>
          </w:r>
          <w:r>
            <w:fldChar w:fldCharType="begin"/>
          </w:r>
          <w:r>
            <w:instrText xml:space="preserve"> PAGEREF _Toc30225 \h </w:instrText>
          </w:r>
          <w:r>
            <w:fldChar w:fldCharType="separate"/>
          </w:r>
          <w:r>
            <w:t>11</w:t>
          </w:r>
          <w:r>
            <w:fldChar w:fldCharType="end"/>
          </w:r>
          <w:r>
            <w:fldChar w:fldCharType="end"/>
          </w:r>
        </w:p>
        <w:p w14:paraId="47F43282">
          <w:pPr>
            <w:pStyle w:val="14"/>
            <w:tabs>
              <w:tab w:val="right" w:leader="dot" w:pos="8306"/>
            </w:tabs>
          </w:pPr>
          <w:r>
            <w:fldChar w:fldCharType="begin"/>
          </w:r>
          <w:r>
            <w:instrText xml:space="preserve"> HYPERLINK \l _Toc10148 </w:instrText>
          </w:r>
          <w:r>
            <w:fldChar w:fldCharType="separate"/>
          </w:r>
          <w:r>
            <w:rPr>
              <w:rFonts w:hint="default"/>
              <w:lang w:val="en-US" w:eastAsia="zh-CN"/>
            </w:rPr>
            <w:t xml:space="preserve">3.1.5. </w:t>
          </w:r>
          <w:r>
            <w:rPr>
              <w:rFonts w:hint="eastAsia"/>
              <w:lang w:val="en-US" w:eastAsia="zh-CN"/>
            </w:rPr>
            <w:t>人员绩效考核计划</w:t>
          </w:r>
          <w:r>
            <w:tab/>
          </w:r>
          <w:r>
            <w:fldChar w:fldCharType="begin"/>
          </w:r>
          <w:r>
            <w:instrText xml:space="preserve"> PAGEREF _Toc10148 \h </w:instrText>
          </w:r>
          <w:r>
            <w:fldChar w:fldCharType="separate"/>
          </w:r>
          <w:r>
            <w:t>11</w:t>
          </w:r>
          <w:r>
            <w:fldChar w:fldCharType="end"/>
          </w:r>
          <w:r>
            <w:fldChar w:fldCharType="end"/>
          </w:r>
        </w:p>
        <w:p w14:paraId="66CBDBA4">
          <w:pPr>
            <w:pStyle w:val="14"/>
            <w:tabs>
              <w:tab w:val="right" w:leader="dot" w:pos="8306"/>
            </w:tabs>
          </w:pPr>
          <w:r>
            <w:fldChar w:fldCharType="begin"/>
          </w:r>
          <w:r>
            <w:instrText xml:space="preserve"> HYPERLINK \l _Toc21117 </w:instrText>
          </w:r>
          <w:r>
            <w:fldChar w:fldCharType="separate"/>
          </w:r>
          <w:r>
            <w:rPr>
              <w:rFonts w:hint="default"/>
              <w:lang w:val="en-US" w:eastAsia="zh-CN"/>
            </w:rPr>
            <w:t xml:space="preserve">3.1.6. </w:t>
          </w:r>
          <w:r>
            <w:rPr>
              <w:rFonts w:hint="eastAsia"/>
              <w:lang w:val="en-US" w:eastAsia="zh-CN"/>
            </w:rPr>
            <w:t>人员技能评定计划</w:t>
          </w:r>
          <w:r>
            <w:tab/>
          </w:r>
          <w:r>
            <w:fldChar w:fldCharType="begin"/>
          </w:r>
          <w:r>
            <w:instrText xml:space="preserve"> PAGEREF _Toc21117 \h </w:instrText>
          </w:r>
          <w:r>
            <w:fldChar w:fldCharType="separate"/>
          </w:r>
          <w:r>
            <w:t>12</w:t>
          </w:r>
          <w:r>
            <w:fldChar w:fldCharType="end"/>
          </w:r>
          <w:r>
            <w:fldChar w:fldCharType="end"/>
          </w:r>
        </w:p>
        <w:p w14:paraId="664CE9A3">
          <w:pPr>
            <w:pStyle w:val="19"/>
            <w:tabs>
              <w:tab w:val="right" w:leader="dot" w:pos="8306"/>
            </w:tabs>
          </w:pPr>
          <w:r>
            <w:fldChar w:fldCharType="begin"/>
          </w:r>
          <w:r>
            <w:instrText xml:space="preserve"> HYPERLINK \l _Toc24039 </w:instrText>
          </w:r>
          <w:r>
            <w:fldChar w:fldCharType="separate"/>
          </w:r>
          <w:r>
            <w:rPr>
              <w:rFonts w:hint="default"/>
              <w:lang w:val="en-US" w:eastAsia="zh-CN"/>
            </w:rPr>
            <w:t xml:space="preserve">3.2. </w:t>
          </w:r>
          <w:r>
            <w:rPr>
              <w:rFonts w:hint="eastAsia"/>
              <w:lang w:val="en-US" w:eastAsia="zh-CN"/>
            </w:rPr>
            <w:t>资源管理规划</w:t>
          </w:r>
          <w:r>
            <w:tab/>
          </w:r>
          <w:r>
            <w:fldChar w:fldCharType="begin"/>
          </w:r>
          <w:r>
            <w:instrText xml:space="preserve"> PAGEREF _Toc24039 \h </w:instrText>
          </w:r>
          <w:r>
            <w:fldChar w:fldCharType="separate"/>
          </w:r>
          <w:r>
            <w:t>13</w:t>
          </w:r>
          <w:r>
            <w:fldChar w:fldCharType="end"/>
          </w:r>
          <w:r>
            <w:fldChar w:fldCharType="end"/>
          </w:r>
        </w:p>
        <w:p w14:paraId="05CDA593">
          <w:pPr>
            <w:pStyle w:val="14"/>
            <w:tabs>
              <w:tab w:val="right" w:leader="dot" w:pos="8306"/>
            </w:tabs>
          </w:pPr>
          <w:r>
            <w:fldChar w:fldCharType="begin"/>
          </w:r>
          <w:r>
            <w:instrText xml:space="preserve"> HYPERLINK \l _Toc30644 </w:instrText>
          </w:r>
          <w:r>
            <w:fldChar w:fldCharType="separate"/>
          </w:r>
          <w:r>
            <w:rPr>
              <w:rFonts w:hint="default"/>
              <w:lang w:val="en-US" w:eastAsia="zh-CN"/>
            </w:rPr>
            <w:t>3.2.1. 运维工具管理</w:t>
          </w:r>
          <w:r>
            <w:tab/>
          </w:r>
          <w:r>
            <w:fldChar w:fldCharType="begin"/>
          </w:r>
          <w:r>
            <w:instrText xml:space="preserve"> PAGEREF _Toc30644 \h </w:instrText>
          </w:r>
          <w:r>
            <w:fldChar w:fldCharType="separate"/>
          </w:r>
          <w:r>
            <w:t>13</w:t>
          </w:r>
          <w:r>
            <w:fldChar w:fldCharType="end"/>
          </w:r>
          <w:r>
            <w:fldChar w:fldCharType="end"/>
          </w:r>
        </w:p>
        <w:p w14:paraId="5B8AECEA">
          <w:pPr>
            <w:pStyle w:val="14"/>
            <w:tabs>
              <w:tab w:val="right" w:leader="dot" w:pos="8306"/>
            </w:tabs>
          </w:pPr>
          <w:r>
            <w:fldChar w:fldCharType="begin"/>
          </w:r>
          <w:r>
            <w:instrText xml:space="preserve"> HYPERLINK \l _Toc5728 </w:instrText>
          </w:r>
          <w:r>
            <w:fldChar w:fldCharType="separate"/>
          </w:r>
          <w:r>
            <w:rPr>
              <w:rFonts w:hint="default"/>
              <w:lang w:val="en-US" w:eastAsia="zh-CN"/>
            </w:rPr>
            <w:t>3.2.2. 服务知识管理</w:t>
          </w:r>
          <w:r>
            <w:tab/>
          </w:r>
          <w:r>
            <w:fldChar w:fldCharType="begin"/>
          </w:r>
          <w:r>
            <w:instrText xml:space="preserve"> PAGEREF _Toc5728 \h </w:instrText>
          </w:r>
          <w:r>
            <w:fldChar w:fldCharType="separate"/>
          </w:r>
          <w:r>
            <w:t>14</w:t>
          </w:r>
          <w:r>
            <w:fldChar w:fldCharType="end"/>
          </w:r>
          <w:r>
            <w:fldChar w:fldCharType="end"/>
          </w:r>
        </w:p>
        <w:p w14:paraId="46A17503">
          <w:pPr>
            <w:pStyle w:val="14"/>
            <w:tabs>
              <w:tab w:val="right" w:leader="dot" w:pos="8306"/>
            </w:tabs>
          </w:pPr>
          <w:r>
            <w:fldChar w:fldCharType="begin"/>
          </w:r>
          <w:r>
            <w:instrText xml:space="preserve"> HYPERLINK \l _Toc21911 </w:instrText>
          </w:r>
          <w:r>
            <w:fldChar w:fldCharType="separate"/>
          </w:r>
          <w:r>
            <w:rPr>
              <w:rFonts w:hint="default"/>
              <w:lang w:val="en-US" w:eastAsia="zh-CN"/>
            </w:rPr>
            <w:t>3.2.3. 服务台管理</w:t>
          </w:r>
          <w:r>
            <w:tab/>
          </w:r>
          <w:r>
            <w:fldChar w:fldCharType="begin"/>
          </w:r>
          <w:r>
            <w:instrText xml:space="preserve"> PAGEREF _Toc21911 \h </w:instrText>
          </w:r>
          <w:r>
            <w:fldChar w:fldCharType="separate"/>
          </w:r>
          <w:r>
            <w:t>14</w:t>
          </w:r>
          <w:r>
            <w:fldChar w:fldCharType="end"/>
          </w:r>
          <w:r>
            <w:fldChar w:fldCharType="end"/>
          </w:r>
        </w:p>
        <w:p w14:paraId="0ECFF498">
          <w:pPr>
            <w:pStyle w:val="14"/>
            <w:tabs>
              <w:tab w:val="right" w:leader="dot" w:pos="8306"/>
            </w:tabs>
          </w:pPr>
          <w:r>
            <w:fldChar w:fldCharType="begin"/>
          </w:r>
          <w:r>
            <w:instrText xml:space="preserve"> HYPERLINK \l _Toc26603 </w:instrText>
          </w:r>
          <w:r>
            <w:fldChar w:fldCharType="separate"/>
          </w:r>
          <w:r>
            <w:rPr>
              <w:rFonts w:hint="default"/>
              <w:lang w:val="en-US" w:eastAsia="zh-CN"/>
            </w:rPr>
            <w:t>3.2.4. 备件库管理</w:t>
          </w:r>
          <w:r>
            <w:tab/>
          </w:r>
          <w:r>
            <w:fldChar w:fldCharType="begin"/>
          </w:r>
          <w:r>
            <w:instrText xml:space="preserve"> PAGEREF _Toc26603 \h </w:instrText>
          </w:r>
          <w:r>
            <w:fldChar w:fldCharType="separate"/>
          </w:r>
          <w:r>
            <w:t>15</w:t>
          </w:r>
          <w:r>
            <w:fldChar w:fldCharType="end"/>
          </w:r>
          <w:r>
            <w:fldChar w:fldCharType="end"/>
          </w:r>
        </w:p>
        <w:p w14:paraId="54DDAADD">
          <w:pPr>
            <w:pStyle w:val="14"/>
            <w:tabs>
              <w:tab w:val="right" w:leader="dot" w:pos="8306"/>
            </w:tabs>
          </w:pPr>
          <w:r>
            <w:fldChar w:fldCharType="begin"/>
          </w:r>
          <w:r>
            <w:instrText xml:space="preserve"> HYPERLINK \l _Toc7154 </w:instrText>
          </w:r>
          <w:r>
            <w:fldChar w:fldCharType="separate"/>
          </w:r>
          <w:r>
            <w:rPr>
              <w:rFonts w:hint="default"/>
              <w:lang w:val="en-US" w:eastAsia="zh-CN"/>
            </w:rPr>
            <w:t>3.2.5. 最终软件库管理</w:t>
          </w:r>
          <w:r>
            <w:tab/>
          </w:r>
          <w:r>
            <w:fldChar w:fldCharType="begin"/>
          </w:r>
          <w:r>
            <w:instrText xml:space="preserve"> PAGEREF _Toc7154 \h </w:instrText>
          </w:r>
          <w:r>
            <w:fldChar w:fldCharType="separate"/>
          </w:r>
          <w:r>
            <w:t>15</w:t>
          </w:r>
          <w:r>
            <w:fldChar w:fldCharType="end"/>
          </w:r>
          <w:r>
            <w:fldChar w:fldCharType="end"/>
          </w:r>
        </w:p>
        <w:p w14:paraId="01317875">
          <w:pPr>
            <w:pStyle w:val="14"/>
            <w:tabs>
              <w:tab w:val="right" w:leader="dot" w:pos="8306"/>
            </w:tabs>
          </w:pPr>
          <w:r>
            <w:fldChar w:fldCharType="begin"/>
          </w:r>
          <w:r>
            <w:instrText xml:space="preserve"> HYPERLINK \l _Toc28168 </w:instrText>
          </w:r>
          <w:r>
            <w:fldChar w:fldCharType="separate"/>
          </w:r>
          <w:r>
            <w:rPr>
              <w:rFonts w:hint="default"/>
              <w:lang w:val="en-US" w:eastAsia="zh-CN"/>
            </w:rPr>
            <w:t>3.2.6. 服务数据管理</w:t>
          </w:r>
          <w:r>
            <w:tab/>
          </w:r>
          <w:r>
            <w:fldChar w:fldCharType="begin"/>
          </w:r>
          <w:r>
            <w:instrText xml:space="preserve"> PAGEREF _Toc28168 \h </w:instrText>
          </w:r>
          <w:r>
            <w:fldChar w:fldCharType="separate"/>
          </w:r>
          <w:r>
            <w:t>15</w:t>
          </w:r>
          <w:r>
            <w:fldChar w:fldCharType="end"/>
          </w:r>
          <w:r>
            <w:fldChar w:fldCharType="end"/>
          </w:r>
        </w:p>
        <w:p w14:paraId="0C91B68A">
          <w:pPr>
            <w:pStyle w:val="19"/>
            <w:tabs>
              <w:tab w:val="right" w:leader="dot" w:pos="8306"/>
            </w:tabs>
          </w:pPr>
          <w:r>
            <w:fldChar w:fldCharType="begin"/>
          </w:r>
          <w:r>
            <w:instrText xml:space="preserve"> HYPERLINK \l _Toc24503 </w:instrText>
          </w:r>
          <w:r>
            <w:fldChar w:fldCharType="separate"/>
          </w:r>
          <w:r>
            <w:rPr>
              <w:rFonts w:hint="default"/>
              <w:lang w:val="en-US" w:eastAsia="zh-CN"/>
            </w:rPr>
            <w:t xml:space="preserve">3.3. </w:t>
          </w:r>
          <w:r>
            <w:rPr>
              <w:rFonts w:hint="eastAsia"/>
              <w:lang w:val="en-US" w:eastAsia="zh-CN"/>
            </w:rPr>
            <w:t>技术研发规划</w:t>
          </w:r>
          <w:r>
            <w:tab/>
          </w:r>
          <w:r>
            <w:fldChar w:fldCharType="begin"/>
          </w:r>
          <w:r>
            <w:instrText xml:space="preserve"> PAGEREF _Toc24503 \h </w:instrText>
          </w:r>
          <w:r>
            <w:fldChar w:fldCharType="separate"/>
          </w:r>
          <w:r>
            <w:t>16</w:t>
          </w:r>
          <w:r>
            <w:fldChar w:fldCharType="end"/>
          </w:r>
          <w:r>
            <w:fldChar w:fldCharType="end"/>
          </w:r>
        </w:p>
        <w:p w14:paraId="25B92983">
          <w:pPr>
            <w:pStyle w:val="14"/>
            <w:tabs>
              <w:tab w:val="right" w:leader="dot" w:pos="8306"/>
            </w:tabs>
          </w:pPr>
          <w:r>
            <w:fldChar w:fldCharType="begin"/>
          </w:r>
          <w:r>
            <w:instrText xml:space="preserve"> HYPERLINK \l _Toc31620 </w:instrText>
          </w:r>
          <w:r>
            <w:fldChar w:fldCharType="separate"/>
          </w:r>
          <w:r>
            <w:rPr>
              <w:rFonts w:hint="default"/>
              <w:lang w:val="en-US" w:eastAsia="zh-CN"/>
            </w:rPr>
            <w:t>3.3.1. 研发现状</w:t>
          </w:r>
          <w:r>
            <w:tab/>
          </w:r>
          <w:r>
            <w:fldChar w:fldCharType="begin"/>
          </w:r>
          <w:r>
            <w:instrText xml:space="preserve"> PAGEREF _Toc31620 \h </w:instrText>
          </w:r>
          <w:r>
            <w:fldChar w:fldCharType="separate"/>
          </w:r>
          <w:r>
            <w:t>16</w:t>
          </w:r>
          <w:r>
            <w:fldChar w:fldCharType="end"/>
          </w:r>
          <w:r>
            <w:fldChar w:fldCharType="end"/>
          </w:r>
        </w:p>
        <w:p w14:paraId="698E273E">
          <w:pPr>
            <w:pStyle w:val="14"/>
            <w:tabs>
              <w:tab w:val="right" w:leader="dot" w:pos="8306"/>
            </w:tabs>
          </w:pPr>
          <w:r>
            <w:fldChar w:fldCharType="begin"/>
          </w:r>
          <w:r>
            <w:instrText xml:space="preserve"> HYPERLINK \l _Toc7042 </w:instrText>
          </w:r>
          <w:r>
            <w:fldChar w:fldCharType="separate"/>
          </w:r>
          <w:r>
            <w:rPr>
              <w:rFonts w:hint="default"/>
              <w:lang w:val="en-US" w:eastAsia="zh-CN"/>
            </w:rPr>
            <w:t>3.3.2. 研发目标</w:t>
          </w:r>
          <w:r>
            <w:tab/>
          </w:r>
          <w:r>
            <w:fldChar w:fldCharType="begin"/>
          </w:r>
          <w:r>
            <w:instrText xml:space="preserve"> PAGEREF _Toc7042 \h </w:instrText>
          </w:r>
          <w:r>
            <w:fldChar w:fldCharType="separate"/>
          </w:r>
          <w:r>
            <w:t>16</w:t>
          </w:r>
          <w:r>
            <w:fldChar w:fldCharType="end"/>
          </w:r>
          <w:r>
            <w:fldChar w:fldCharType="end"/>
          </w:r>
        </w:p>
        <w:p w14:paraId="54190E64">
          <w:pPr>
            <w:pStyle w:val="14"/>
            <w:tabs>
              <w:tab w:val="right" w:leader="dot" w:pos="8306"/>
            </w:tabs>
          </w:pPr>
          <w:r>
            <w:fldChar w:fldCharType="begin"/>
          </w:r>
          <w:r>
            <w:instrText xml:space="preserve"> HYPERLINK \l _Toc20358 </w:instrText>
          </w:r>
          <w:r>
            <w:fldChar w:fldCharType="separate"/>
          </w:r>
          <w:r>
            <w:rPr>
              <w:rFonts w:hint="default"/>
              <w:lang w:val="en-US" w:eastAsia="zh-CN"/>
            </w:rPr>
            <w:t xml:space="preserve">3.3.3. </w:t>
          </w:r>
          <w:r>
            <w:rPr>
              <w:rFonts w:hint="eastAsia"/>
              <w:lang w:val="en-US" w:eastAsia="zh-CN"/>
            </w:rPr>
            <w:t>研发计划</w:t>
          </w:r>
          <w:r>
            <w:tab/>
          </w:r>
          <w:r>
            <w:fldChar w:fldCharType="begin"/>
          </w:r>
          <w:r>
            <w:instrText xml:space="preserve"> PAGEREF _Toc20358 \h </w:instrText>
          </w:r>
          <w:r>
            <w:fldChar w:fldCharType="separate"/>
          </w:r>
          <w:r>
            <w:t>17</w:t>
          </w:r>
          <w:r>
            <w:fldChar w:fldCharType="end"/>
          </w:r>
          <w:r>
            <w:fldChar w:fldCharType="end"/>
          </w:r>
        </w:p>
        <w:p w14:paraId="609A582A">
          <w:pPr>
            <w:pStyle w:val="14"/>
            <w:tabs>
              <w:tab w:val="right" w:leader="dot" w:pos="8306"/>
            </w:tabs>
          </w:pPr>
          <w:r>
            <w:fldChar w:fldCharType="begin"/>
          </w:r>
          <w:r>
            <w:instrText xml:space="preserve"> HYPERLINK \l _Toc27887 </w:instrText>
          </w:r>
          <w:r>
            <w:fldChar w:fldCharType="separate"/>
          </w:r>
          <w:r>
            <w:rPr>
              <w:rFonts w:hint="default"/>
              <w:lang w:val="en-US" w:eastAsia="zh-CN"/>
            </w:rPr>
            <w:t>3.3.4. 主要功能研发安排</w:t>
          </w:r>
          <w:r>
            <w:tab/>
          </w:r>
          <w:r>
            <w:fldChar w:fldCharType="begin"/>
          </w:r>
          <w:r>
            <w:instrText xml:space="preserve"> PAGEREF _Toc27887 \h </w:instrText>
          </w:r>
          <w:r>
            <w:fldChar w:fldCharType="separate"/>
          </w:r>
          <w:r>
            <w:t>17</w:t>
          </w:r>
          <w:r>
            <w:fldChar w:fldCharType="end"/>
          </w:r>
          <w:r>
            <w:fldChar w:fldCharType="end"/>
          </w:r>
        </w:p>
        <w:p w14:paraId="2573B6E1">
          <w:pPr>
            <w:pStyle w:val="19"/>
            <w:tabs>
              <w:tab w:val="right" w:leader="dot" w:pos="8306"/>
            </w:tabs>
          </w:pPr>
          <w:r>
            <w:fldChar w:fldCharType="begin"/>
          </w:r>
          <w:r>
            <w:instrText xml:space="preserve"> HYPERLINK \l _Toc18439 </w:instrText>
          </w:r>
          <w:r>
            <w:fldChar w:fldCharType="separate"/>
          </w:r>
          <w:r>
            <w:rPr>
              <w:rFonts w:hint="default"/>
              <w:lang w:val="en-US" w:eastAsia="zh-CN"/>
            </w:rPr>
            <w:t xml:space="preserve">3.4. </w:t>
          </w:r>
          <w:r>
            <w:rPr>
              <w:rFonts w:hint="eastAsia"/>
              <w:lang w:val="en-US" w:eastAsia="zh-CN"/>
            </w:rPr>
            <w:t>过程管理规划</w:t>
          </w:r>
          <w:r>
            <w:tab/>
          </w:r>
          <w:r>
            <w:fldChar w:fldCharType="begin"/>
          </w:r>
          <w:r>
            <w:instrText xml:space="preserve"> PAGEREF _Toc18439 \h </w:instrText>
          </w:r>
          <w:r>
            <w:fldChar w:fldCharType="separate"/>
          </w:r>
          <w:r>
            <w:t>18</w:t>
          </w:r>
          <w:r>
            <w:fldChar w:fldCharType="end"/>
          </w:r>
          <w:r>
            <w:fldChar w:fldCharType="end"/>
          </w:r>
        </w:p>
        <w:p w14:paraId="319E9D6A">
          <w:pPr>
            <w:pStyle w:val="14"/>
            <w:tabs>
              <w:tab w:val="right" w:leader="dot" w:pos="8306"/>
            </w:tabs>
          </w:pPr>
          <w:r>
            <w:fldChar w:fldCharType="begin"/>
          </w:r>
          <w:r>
            <w:instrText xml:space="preserve"> HYPERLINK \l _Toc15798 </w:instrText>
          </w:r>
          <w:r>
            <w:fldChar w:fldCharType="separate"/>
          </w:r>
          <w:r>
            <w:rPr>
              <w:rFonts w:hint="default"/>
              <w:lang w:val="en-US" w:eastAsia="zh-CN"/>
            </w:rPr>
            <w:t xml:space="preserve">3.4.1. </w:t>
          </w:r>
          <w:r>
            <w:rPr>
              <w:rFonts w:hint="eastAsia"/>
              <w:lang w:val="en-US" w:eastAsia="zh-CN"/>
            </w:rPr>
            <w:t>过程框架管理</w:t>
          </w:r>
          <w:r>
            <w:tab/>
          </w:r>
          <w:r>
            <w:fldChar w:fldCharType="begin"/>
          </w:r>
          <w:r>
            <w:instrText xml:space="preserve"> PAGEREF _Toc15798 \h </w:instrText>
          </w:r>
          <w:r>
            <w:fldChar w:fldCharType="separate"/>
          </w:r>
          <w:r>
            <w:t>18</w:t>
          </w:r>
          <w:r>
            <w:fldChar w:fldCharType="end"/>
          </w:r>
          <w:r>
            <w:fldChar w:fldCharType="end"/>
          </w:r>
        </w:p>
        <w:p w14:paraId="1615A25A">
          <w:pPr>
            <w:pStyle w:val="14"/>
            <w:tabs>
              <w:tab w:val="right" w:leader="dot" w:pos="8306"/>
            </w:tabs>
          </w:pPr>
          <w:r>
            <w:fldChar w:fldCharType="begin"/>
          </w:r>
          <w:r>
            <w:instrText xml:space="preserve"> HYPERLINK \l _Toc9463 </w:instrText>
          </w:r>
          <w:r>
            <w:fldChar w:fldCharType="separate"/>
          </w:r>
          <w:r>
            <w:rPr>
              <w:rFonts w:hint="default"/>
              <w:lang w:val="en-US" w:eastAsia="zh-CN"/>
            </w:rPr>
            <w:t xml:space="preserve">3.4.2. </w:t>
          </w:r>
          <w:r>
            <w:rPr>
              <w:rFonts w:hint="eastAsia"/>
              <w:lang w:val="en-US" w:eastAsia="zh-CN"/>
            </w:rPr>
            <w:t>服务级别管理</w:t>
          </w:r>
          <w:r>
            <w:tab/>
          </w:r>
          <w:r>
            <w:fldChar w:fldCharType="begin"/>
          </w:r>
          <w:r>
            <w:instrText xml:space="preserve"> PAGEREF _Toc9463 \h </w:instrText>
          </w:r>
          <w:r>
            <w:fldChar w:fldCharType="separate"/>
          </w:r>
          <w:r>
            <w:t>19</w:t>
          </w:r>
          <w:r>
            <w:fldChar w:fldCharType="end"/>
          </w:r>
          <w:r>
            <w:fldChar w:fldCharType="end"/>
          </w:r>
        </w:p>
        <w:p w14:paraId="40713E9E">
          <w:pPr>
            <w:pStyle w:val="14"/>
            <w:tabs>
              <w:tab w:val="right" w:leader="dot" w:pos="8306"/>
            </w:tabs>
          </w:pPr>
          <w:r>
            <w:fldChar w:fldCharType="begin"/>
          </w:r>
          <w:r>
            <w:instrText xml:space="preserve"> HYPERLINK \l _Toc16056 </w:instrText>
          </w:r>
          <w:r>
            <w:fldChar w:fldCharType="separate"/>
          </w:r>
          <w:r>
            <w:rPr>
              <w:rFonts w:hint="default"/>
              <w:lang w:val="en-US" w:eastAsia="zh-CN"/>
            </w:rPr>
            <w:t xml:space="preserve">3.4.3. </w:t>
          </w:r>
          <w:r>
            <w:rPr>
              <w:rFonts w:hint="eastAsia"/>
              <w:lang w:val="en-US" w:eastAsia="zh-CN"/>
            </w:rPr>
            <w:t>服务报告管理</w:t>
          </w:r>
          <w:r>
            <w:tab/>
          </w:r>
          <w:r>
            <w:fldChar w:fldCharType="begin"/>
          </w:r>
          <w:r>
            <w:instrText xml:space="preserve"> PAGEREF _Toc16056 \h </w:instrText>
          </w:r>
          <w:r>
            <w:fldChar w:fldCharType="separate"/>
          </w:r>
          <w:r>
            <w:t>19</w:t>
          </w:r>
          <w:r>
            <w:fldChar w:fldCharType="end"/>
          </w:r>
          <w:r>
            <w:fldChar w:fldCharType="end"/>
          </w:r>
        </w:p>
        <w:p w14:paraId="5D9828D4">
          <w:pPr>
            <w:pStyle w:val="14"/>
            <w:tabs>
              <w:tab w:val="right" w:leader="dot" w:pos="8306"/>
            </w:tabs>
          </w:pPr>
          <w:r>
            <w:fldChar w:fldCharType="begin"/>
          </w:r>
          <w:r>
            <w:instrText xml:space="preserve"> HYPERLINK \l _Toc18846 </w:instrText>
          </w:r>
          <w:r>
            <w:fldChar w:fldCharType="separate"/>
          </w:r>
          <w:r>
            <w:rPr>
              <w:rFonts w:hint="default"/>
              <w:lang w:val="en-US" w:eastAsia="zh-CN"/>
            </w:rPr>
            <w:t xml:space="preserve">3.4.4. </w:t>
          </w:r>
          <w:r>
            <w:rPr>
              <w:rFonts w:hint="eastAsia"/>
              <w:lang w:val="en-US" w:eastAsia="zh-CN"/>
            </w:rPr>
            <w:t>事件管理</w:t>
          </w:r>
          <w:r>
            <w:tab/>
          </w:r>
          <w:r>
            <w:fldChar w:fldCharType="begin"/>
          </w:r>
          <w:r>
            <w:instrText xml:space="preserve"> PAGEREF _Toc18846 \h </w:instrText>
          </w:r>
          <w:r>
            <w:fldChar w:fldCharType="separate"/>
          </w:r>
          <w:r>
            <w:t>20</w:t>
          </w:r>
          <w:r>
            <w:fldChar w:fldCharType="end"/>
          </w:r>
          <w:r>
            <w:fldChar w:fldCharType="end"/>
          </w:r>
        </w:p>
        <w:p w14:paraId="34FD7976">
          <w:pPr>
            <w:pStyle w:val="14"/>
            <w:tabs>
              <w:tab w:val="right" w:leader="dot" w:pos="8306"/>
            </w:tabs>
          </w:pPr>
          <w:r>
            <w:fldChar w:fldCharType="begin"/>
          </w:r>
          <w:r>
            <w:instrText xml:space="preserve"> HYPERLINK \l _Toc3164 </w:instrText>
          </w:r>
          <w:r>
            <w:fldChar w:fldCharType="separate"/>
          </w:r>
          <w:r>
            <w:rPr>
              <w:rFonts w:hint="default"/>
              <w:lang w:val="en-US" w:eastAsia="zh-CN"/>
            </w:rPr>
            <w:t xml:space="preserve">3.4.5. </w:t>
          </w:r>
          <w:r>
            <w:rPr>
              <w:rFonts w:hint="eastAsia"/>
              <w:lang w:val="en-US" w:eastAsia="zh-CN"/>
            </w:rPr>
            <w:t>问题管理</w:t>
          </w:r>
          <w:r>
            <w:tab/>
          </w:r>
          <w:r>
            <w:fldChar w:fldCharType="begin"/>
          </w:r>
          <w:r>
            <w:instrText xml:space="preserve"> PAGEREF _Toc3164 \h </w:instrText>
          </w:r>
          <w:r>
            <w:fldChar w:fldCharType="separate"/>
          </w:r>
          <w:r>
            <w:t>20</w:t>
          </w:r>
          <w:r>
            <w:fldChar w:fldCharType="end"/>
          </w:r>
          <w:r>
            <w:fldChar w:fldCharType="end"/>
          </w:r>
        </w:p>
        <w:p w14:paraId="472B0638">
          <w:pPr>
            <w:pStyle w:val="14"/>
            <w:tabs>
              <w:tab w:val="right" w:leader="dot" w:pos="8306"/>
            </w:tabs>
          </w:pPr>
          <w:r>
            <w:fldChar w:fldCharType="begin"/>
          </w:r>
          <w:r>
            <w:instrText xml:space="preserve"> HYPERLINK \l _Toc5632 </w:instrText>
          </w:r>
          <w:r>
            <w:fldChar w:fldCharType="separate"/>
          </w:r>
          <w:r>
            <w:rPr>
              <w:rFonts w:hint="default"/>
              <w:lang w:val="en-US" w:eastAsia="zh-CN"/>
            </w:rPr>
            <w:t xml:space="preserve">3.4.6. </w:t>
          </w:r>
          <w:r>
            <w:rPr>
              <w:rFonts w:hint="eastAsia"/>
              <w:lang w:val="en-US" w:eastAsia="zh-CN"/>
            </w:rPr>
            <w:t>变更管理</w:t>
          </w:r>
          <w:r>
            <w:tab/>
          </w:r>
          <w:r>
            <w:fldChar w:fldCharType="begin"/>
          </w:r>
          <w:r>
            <w:instrText xml:space="preserve"> PAGEREF _Toc5632 \h </w:instrText>
          </w:r>
          <w:r>
            <w:fldChar w:fldCharType="separate"/>
          </w:r>
          <w:r>
            <w:t>21</w:t>
          </w:r>
          <w:r>
            <w:fldChar w:fldCharType="end"/>
          </w:r>
          <w:r>
            <w:fldChar w:fldCharType="end"/>
          </w:r>
        </w:p>
        <w:p w14:paraId="3017EBA5">
          <w:pPr>
            <w:pStyle w:val="14"/>
            <w:tabs>
              <w:tab w:val="right" w:leader="dot" w:pos="8306"/>
            </w:tabs>
          </w:pPr>
          <w:r>
            <w:fldChar w:fldCharType="begin"/>
          </w:r>
          <w:r>
            <w:instrText xml:space="preserve"> HYPERLINK \l _Toc20206 </w:instrText>
          </w:r>
          <w:r>
            <w:fldChar w:fldCharType="separate"/>
          </w:r>
          <w:r>
            <w:rPr>
              <w:rFonts w:hint="default"/>
              <w:lang w:val="en-US" w:eastAsia="zh-CN"/>
            </w:rPr>
            <w:t xml:space="preserve">3.4.7. </w:t>
          </w:r>
          <w:r>
            <w:rPr>
              <w:rFonts w:hint="eastAsia"/>
              <w:lang w:val="en-US" w:eastAsia="zh-CN"/>
            </w:rPr>
            <w:t>发布管理</w:t>
          </w:r>
          <w:r>
            <w:tab/>
          </w:r>
          <w:r>
            <w:fldChar w:fldCharType="begin"/>
          </w:r>
          <w:r>
            <w:instrText xml:space="preserve"> PAGEREF _Toc20206 \h </w:instrText>
          </w:r>
          <w:r>
            <w:fldChar w:fldCharType="separate"/>
          </w:r>
          <w:r>
            <w:t>21</w:t>
          </w:r>
          <w:r>
            <w:fldChar w:fldCharType="end"/>
          </w:r>
          <w:r>
            <w:fldChar w:fldCharType="end"/>
          </w:r>
        </w:p>
        <w:p w14:paraId="76E949CC">
          <w:pPr>
            <w:pStyle w:val="14"/>
            <w:tabs>
              <w:tab w:val="right" w:leader="dot" w:pos="8306"/>
            </w:tabs>
          </w:pPr>
          <w:r>
            <w:fldChar w:fldCharType="begin"/>
          </w:r>
          <w:r>
            <w:instrText xml:space="preserve"> HYPERLINK \l _Toc65 </w:instrText>
          </w:r>
          <w:r>
            <w:fldChar w:fldCharType="separate"/>
          </w:r>
          <w:r>
            <w:rPr>
              <w:rFonts w:hint="default"/>
              <w:lang w:val="en-US" w:eastAsia="zh-CN"/>
            </w:rPr>
            <w:t xml:space="preserve">3.4.8. </w:t>
          </w:r>
          <w:r>
            <w:rPr>
              <w:rFonts w:hint="eastAsia"/>
              <w:lang w:val="en-US" w:eastAsia="zh-CN"/>
            </w:rPr>
            <w:t>配置管理</w:t>
          </w:r>
          <w:r>
            <w:tab/>
          </w:r>
          <w:r>
            <w:fldChar w:fldCharType="begin"/>
          </w:r>
          <w:r>
            <w:instrText xml:space="preserve"> PAGEREF _Toc65 \h </w:instrText>
          </w:r>
          <w:r>
            <w:fldChar w:fldCharType="separate"/>
          </w:r>
          <w:r>
            <w:t>22</w:t>
          </w:r>
          <w:r>
            <w:fldChar w:fldCharType="end"/>
          </w:r>
          <w:r>
            <w:fldChar w:fldCharType="end"/>
          </w:r>
        </w:p>
        <w:p w14:paraId="7330D318">
          <w:pPr>
            <w:pStyle w:val="14"/>
            <w:tabs>
              <w:tab w:val="right" w:leader="dot" w:pos="8306"/>
            </w:tabs>
          </w:pPr>
          <w:r>
            <w:fldChar w:fldCharType="begin"/>
          </w:r>
          <w:r>
            <w:instrText xml:space="preserve"> HYPERLINK \l _Toc32482 </w:instrText>
          </w:r>
          <w:r>
            <w:fldChar w:fldCharType="separate"/>
          </w:r>
          <w:r>
            <w:rPr>
              <w:rFonts w:hint="default"/>
              <w:lang w:val="en-US" w:eastAsia="zh-CN"/>
            </w:rPr>
            <w:t xml:space="preserve">3.4.9. </w:t>
          </w:r>
          <w:r>
            <w:rPr>
              <w:rFonts w:hint="eastAsia"/>
              <w:lang w:val="en-US" w:eastAsia="zh-CN"/>
            </w:rPr>
            <w:t>可用性和连续性管理</w:t>
          </w:r>
          <w:r>
            <w:tab/>
          </w:r>
          <w:r>
            <w:fldChar w:fldCharType="begin"/>
          </w:r>
          <w:r>
            <w:instrText xml:space="preserve"> PAGEREF _Toc32482 \h </w:instrText>
          </w:r>
          <w:r>
            <w:fldChar w:fldCharType="separate"/>
          </w:r>
          <w:r>
            <w:t>23</w:t>
          </w:r>
          <w:r>
            <w:fldChar w:fldCharType="end"/>
          </w:r>
          <w:r>
            <w:fldChar w:fldCharType="end"/>
          </w:r>
        </w:p>
        <w:p w14:paraId="642FCE2F">
          <w:pPr>
            <w:pStyle w:val="14"/>
            <w:tabs>
              <w:tab w:val="right" w:leader="dot" w:pos="8306"/>
            </w:tabs>
          </w:pPr>
          <w:r>
            <w:fldChar w:fldCharType="begin"/>
          </w:r>
          <w:r>
            <w:instrText xml:space="preserve"> HYPERLINK \l _Toc5733 </w:instrText>
          </w:r>
          <w:r>
            <w:fldChar w:fldCharType="separate"/>
          </w:r>
          <w:r>
            <w:rPr>
              <w:rFonts w:hint="default"/>
              <w:lang w:val="en-US" w:eastAsia="zh-CN"/>
            </w:rPr>
            <w:t xml:space="preserve">3.4.10. </w:t>
          </w:r>
          <w:r>
            <w:rPr>
              <w:rFonts w:hint="eastAsia"/>
              <w:lang w:val="en-US" w:eastAsia="zh-CN"/>
            </w:rPr>
            <w:t>容量管理</w:t>
          </w:r>
          <w:r>
            <w:tab/>
          </w:r>
          <w:r>
            <w:fldChar w:fldCharType="begin"/>
          </w:r>
          <w:r>
            <w:instrText xml:space="preserve"> PAGEREF _Toc5733 \h </w:instrText>
          </w:r>
          <w:r>
            <w:fldChar w:fldCharType="separate"/>
          </w:r>
          <w:r>
            <w:t>23</w:t>
          </w:r>
          <w:r>
            <w:fldChar w:fldCharType="end"/>
          </w:r>
          <w:r>
            <w:fldChar w:fldCharType="end"/>
          </w:r>
        </w:p>
        <w:p w14:paraId="5AE0DF35">
          <w:pPr>
            <w:pStyle w:val="14"/>
            <w:tabs>
              <w:tab w:val="right" w:leader="dot" w:pos="8306"/>
            </w:tabs>
          </w:pPr>
          <w:r>
            <w:fldChar w:fldCharType="begin"/>
          </w:r>
          <w:r>
            <w:instrText xml:space="preserve"> HYPERLINK \l _Toc29724 </w:instrText>
          </w:r>
          <w:r>
            <w:fldChar w:fldCharType="separate"/>
          </w:r>
          <w:r>
            <w:rPr>
              <w:rFonts w:hint="default"/>
              <w:lang w:val="en-US" w:eastAsia="zh-CN"/>
            </w:rPr>
            <w:t xml:space="preserve">3.4.11. </w:t>
          </w:r>
          <w:r>
            <w:rPr>
              <w:rFonts w:hint="eastAsia"/>
              <w:lang w:val="en-US" w:eastAsia="zh-CN"/>
            </w:rPr>
            <w:t>信息安全管理</w:t>
          </w:r>
          <w:r>
            <w:tab/>
          </w:r>
          <w:r>
            <w:fldChar w:fldCharType="begin"/>
          </w:r>
          <w:r>
            <w:instrText xml:space="preserve"> PAGEREF _Toc29724 \h </w:instrText>
          </w:r>
          <w:r>
            <w:fldChar w:fldCharType="separate"/>
          </w:r>
          <w:r>
            <w:t>24</w:t>
          </w:r>
          <w:r>
            <w:fldChar w:fldCharType="end"/>
          </w:r>
          <w:r>
            <w:fldChar w:fldCharType="end"/>
          </w:r>
        </w:p>
        <w:p w14:paraId="4189F340">
          <w:pPr>
            <w:pStyle w:val="19"/>
            <w:tabs>
              <w:tab w:val="right" w:leader="dot" w:pos="8306"/>
            </w:tabs>
          </w:pPr>
          <w:r>
            <w:fldChar w:fldCharType="begin"/>
          </w:r>
          <w:r>
            <w:instrText xml:space="preserve"> HYPERLINK \l _Toc4834 </w:instrText>
          </w:r>
          <w:r>
            <w:fldChar w:fldCharType="separate"/>
          </w:r>
          <w:r>
            <w:rPr>
              <w:rFonts w:hint="default"/>
              <w:lang w:val="en-US" w:eastAsia="zh-CN"/>
            </w:rPr>
            <w:t xml:space="preserve">3.5. </w:t>
          </w:r>
          <w:r>
            <w:rPr>
              <w:rFonts w:hint="eastAsia"/>
              <w:lang w:val="en-US" w:eastAsia="zh-CN"/>
            </w:rPr>
            <w:t>交付管理规划</w:t>
          </w:r>
          <w:r>
            <w:tab/>
          </w:r>
          <w:r>
            <w:fldChar w:fldCharType="begin"/>
          </w:r>
          <w:r>
            <w:instrText xml:space="preserve"> PAGEREF _Toc4834 \h </w:instrText>
          </w:r>
          <w:r>
            <w:fldChar w:fldCharType="separate"/>
          </w:r>
          <w:r>
            <w:t>24</w:t>
          </w:r>
          <w:r>
            <w:fldChar w:fldCharType="end"/>
          </w:r>
          <w:r>
            <w:fldChar w:fldCharType="end"/>
          </w:r>
        </w:p>
        <w:p w14:paraId="2C6DDC2B">
          <w:pPr>
            <w:pStyle w:val="14"/>
            <w:tabs>
              <w:tab w:val="right" w:leader="dot" w:pos="8306"/>
            </w:tabs>
          </w:pPr>
          <w:r>
            <w:fldChar w:fldCharType="begin"/>
          </w:r>
          <w:r>
            <w:instrText xml:space="preserve"> HYPERLINK \l _Toc24765 </w:instrText>
          </w:r>
          <w:r>
            <w:fldChar w:fldCharType="separate"/>
          </w:r>
          <w:r>
            <w:rPr>
              <w:rFonts w:hint="default"/>
              <w:lang w:val="en-US" w:eastAsia="zh-CN"/>
            </w:rPr>
            <w:t xml:space="preserve">3.5.1. </w:t>
          </w:r>
          <w:r>
            <w:rPr>
              <w:rFonts w:hint="eastAsia"/>
              <w:lang w:val="en-US" w:eastAsia="zh-CN"/>
            </w:rPr>
            <w:t>交付策划</w:t>
          </w:r>
          <w:r>
            <w:tab/>
          </w:r>
          <w:r>
            <w:fldChar w:fldCharType="begin"/>
          </w:r>
          <w:r>
            <w:instrText xml:space="preserve"> PAGEREF _Toc24765 \h </w:instrText>
          </w:r>
          <w:r>
            <w:fldChar w:fldCharType="separate"/>
          </w:r>
          <w:r>
            <w:t>25</w:t>
          </w:r>
          <w:r>
            <w:fldChar w:fldCharType="end"/>
          </w:r>
          <w:r>
            <w:fldChar w:fldCharType="end"/>
          </w:r>
        </w:p>
        <w:p w14:paraId="201F0606">
          <w:pPr>
            <w:pStyle w:val="14"/>
            <w:tabs>
              <w:tab w:val="right" w:leader="dot" w:pos="8306"/>
            </w:tabs>
          </w:pPr>
          <w:r>
            <w:fldChar w:fldCharType="begin"/>
          </w:r>
          <w:r>
            <w:instrText xml:space="preserve"> HYPERLINK \l _Toc17111 </w:instrText>
          </w:r>
          <w:r>
            <w:fldChar w:fldCharType="separate"/>
          </w:r>
          <w:r>
            <w:rPr>
              <w:rFonts w:hint="default"/>
              <w:lang w:val="en-US" w:eastAsia="zh-CN"/>
            </w:rPr>
            <w:t xml:space="preserve">3.5.2. </w:t>
          </w:r>
          <w:r>
            <w:rPr>
              <w:rFonts w:hint="eastAsia"/>
              <w:lang w:val="en-US" w:eastAsia="zh-CN"/>
            </w:rPr>
            <w:t>交付实施</w:t>
          </w:r>
          <w:r>
            <w:tab/>
          </w:r>
          <w:r>
            <w:fldChar w:fldCharType="begin"/>
          </w:r>
          <w:r>
            <w:instrText xml:space="preserve"> PAGEREF _Toc17111 \h </w:instrText>
          </w:r>
          <w:r>
            <w:fldChar w:fldCharType="separate"/>
          </w:r>
          <w:r>
            <w:t>25</w:t>
          </w:r>
          <w:r>
            <w:fldChar w:fldCharType="end"/>
          </w:r>
          <w:r>
            <w:fldChar w:fldCharType="end"/>
          </w:r>
        </w:p>
        <w:p w14:paraId="0A4D321D">
          <w:pPr>
            <w:pStyle w:val="14"/>
            <w:tabs>
              <w:tab w:val="right" w:leader="dot" w:pos="8306"/>
            </w:tabs>
          </w:pPr>
          <w:r>
            <w:fldChar w:fldCharType="begin"/>
          </w:r>
          <w:r>
            <w:instrText xml:space="preserve"> HYPERLINK \l _Toc6906 </w:instrText>
          </w:r>
          <w:r>
            <w:fldChar w:fldCharType="separate"/>
          </w:r>
          <w:r>
            <w:rPr>
              <w:rFonts w:hint="default"/>
              <w:lang w:val="en-US" w:eastAsia="zh-CN"/>
            </w:rPr>
            <w:t xml:space="preserve">3.5.3. </w:t>
          </w:r>
          <w:r>
            <w:rPr>
              <w:rFonts w:hint="eastAsia"/>
              <w:lang w:val="en-US" w:eastAsia="zh-CN"/>
            </w:rPr>
            <w:t>交付检查</w:t>
          </w:r>
          <w:r>
            <w:tab/>
          </w:r>
          <w:r>
            <w:fldChar w:fldCharType="begin"/>
          </w:r>
          <w:r>
            <w:instrText xml:space="preserve"> PAGEREF _Toc6906 \h </w:instrText>
          </w:r>
          <w:r>
            <w:fldChar w:fldCharType="separate"/>
          </w:r>
          <w:r>
            <w:t>25</w:t>
          </w:r>
          <w:r>
            <w:fldChar w:fldCharType="end"/>
          </w:r>
          <w:r>
            <w:fldChar w:fldCharType="end"/>
          </w:r>
        </w:p>
        <w:p w14:paraId="630D3597">
          <w:pPr>
            <w:pStyle w:val="14"/>
            <w:tabs>
              <w:tab w:val="right" w:leader="dot" w:pos="8306"/>
            </w:tabs>
          </w:pPr>
          <w:r>
            <w:fldChar w:fldCharType="begin"/>
          </w:r>
          <w:r>
            <w:instrText xml:space="preserve"> HYPERLINK \l _Toc13032 </w:instrText>
          </w:r>
          <w:r>
            <w:fldChar w:fldCharType="separate"/>
          </w:r>
          <w:r>
            <w:rPr>
              <w:rFonts w:hint="default"/>
              <w:lang w:val="en-US" w:eastAsia="zh-CN"/>
            </w:rPr>
            <w:t xml:space="preserve">3.5.4. </w:t>
          </w:r>
          <w:r>
            <w:rPr>
              <w:rFonts w:hint="eastAsia"/>
              <w:lang w:val="en-US" w:eastAsia="zh-CN"/>
            </w:rPr>
            <w:t>交付改进</w:t>
          </w:r>
          <w:r>
            <w:tab/>
          </w:r>
          <w:r>
            <w:fldChar w:fldCharType="begin"/>
          </w:r>
          <w:r>
            <w:instrText xml:space="preserve"> PAGEREF _Toc13032 \h </w:instrText>
          </w:r>
          <w:r>
            <w:fldChar w:fldCharType="separate"/>
          </w:r>
          <w:r>
            <w:t>26</w:t>
          </w:r>
          <w:r>
            <w:fldChar w:fldCharType="end"/>
          </w:r>
          <w:r>
            <w:fldChar w:fldCharType="end"/>
          </w:r>
        </w:p>
        <w:p w14:paraId="1C320D0C">
          <w:pPr>
            <w:pStyle w:val="19"/>
            <w:tabs>
              <w:tab w:val="right" w:leader="dot" w:pos="8306"/>
            </w:tabs>
          </w:pPr>
          <w:r>
            <w:fldChar w:fldCharType="begin"/>
          </w:r>
          <w:r>
            <w:instrText xml:space="preserve"> HYPERLINK \l _Toc30474 </w:instrText>
          </w:r>
          <w:r>
            <w:fldChar w:fldCharType="separate"/>
          </w:r>
          <w:r>
            <w:rPr>
              <w:rFonts w:hint="default"/>
              <w:lang w:val="en-US" w:eastAsia="zh-CN"/>
            </w:rPr>
            <w:t xml:space="preserve">3.6. </w:t>
          </w:r>
          <w:r>
            <w:rPr>
              <w:rFonts w:hint="eastAsia"/>
              <w:lang w:val="en-US" w:eastAsia="zh-CN"/>
            </w:rPr>
            <w:t>应急管理规划</w:t>
          </w:r>
          <w:r>
            <w:tab/>
          </w:r>
          <w:r>
            <w:fldChar w:fldCharType="begin"/>
          </w:r>
          <w:r>
            <w:instrText xml:space="preserve"> PAGEREF _Toc30474 \h </w:instrText>
          </w:r>
          <w:r>
            <w:fldChar w:fldCharType="separate"/>
          </w:r>
          <w:r>
            <w:t>26</w:t>
          </w:r>
          <w:r>
            <w:fldChar w:fldCharType="end"/>
          </w:r>
          <w:r>
            <w:fldChar w:fldCharType="end"/>
          </w:r>
        </w:p>
        <w:p w14:paraId="12C8A937">
          <w:pPr>
            <w:pStyle w:val="14"/>
            <w:tabs>
              <w:tab w:val="right" w:leader="dot" w:pos="8306"/>
            </w:tabs>
          </w:pPr>
          <w:r>
            <w:fldChar w:fldCharType="begin"/>
          </w:r>
          <w:r>
            <w:instrText xml:space="preserve"> HYPERLINK \l _Toc14 </w:instrText>
          </w:r>
          <w:r>
            <w:fldChar w:fldCharType="separate"/>
          </w:r>
          <w:r>
            <w:rPr>
              <w:rFonts w:hint="default"/>
              <w:lang w:val="en-US" w:eastAsia="zh-CN"/>
            </w:rPr>
            <w:t xml:space="preserve">3.6.1. </w:t>
          </w:r>
          <w:r>
            <w:rPr>
              <w:rFonts w:hint="eastAsia"/>
              <w:lang w:val="en-US" w:eastAsia="zh-CN"/>
            </w:rPr>
            <w:t>应急组织</w:t>
          </w:r>
          <w:r>
            <w:tab/>
          </w:r>
          <w:r>
            <w:fldChar w:fldCharType="begin"/>
          </w:r>
          <w:r>
            <w:instrText xml:space="preserve"> PAGEREF _Toc14 \h </w:instrText>
          </w:r>
          <w:r>
            <w:fldChar w:fldCharType="separate"/>
          </w:r>
          <w:r>
            <w:t>26</w:t>
          </w:r>
          <w:r>
            <w:fldChar w:fldCharType="end"/>
          </w:r>
          <w:r>
            <w:fldChar w:fldCharType="end"/>
          </w:r>
        </w:p>
        <w:p w14:paraId="5217769B">
          <w:pPr>
            <w:pStyle w:val="14"/>
            <w:tabs>
              <w:tab w:val="right" w:leader="dot" w:pos="8306"/>
            </w:tabs>
          </w:pPr>
          <w:r>
            <w:fldChar w:fldCharType="begin"/>
          </w:r>
          <w:r>
            <w:instrText xml:space="preserve"> HYPERLINK \l _Toc14644 </w:instrText>
          </w:r>
          <w:r>
            <w:fldChar w:fldCharType="separate"/>
          </w:r>
          <w:r>
            <w:rPr>
              <w:rFonts w:hint="default"/>
              <w:lang w:val="en-US" w:eastAsia="zh-CN"/>
            </w:rPr>
            <w:t xml:space="preserve">3.6.2. </w:t>
          </w:r>
          <w:r>
            <w:rPr>
              <w:rFonts w:hint="eastAsia"/>
              <w:lang w:val="en-US" w:eastAsia="zh-CN"/>
            </w:rPr>
            <w:t>应急预案</w:t>
          </w:r>
          <w:r>
            <w:tab/>
          </w:r>
          <w:r>
            <w:fldChar w:fldCharType="begin"/>
          </w:r>
          <w:r>
            <w:instrText xml:space="preserve"> PAGEREF _Toc14644 \h </w:instrText>
          </w:r>
          <w:r>
            <w:fldChar w:fldCharType="separate"/>
          </w:r>
          <w:r>
            <w:t>27</w:t>
          </w:r>
          <w:r>
            <w:fldChar w:fldCharType="end"/>
          </w:r>
          <w:r>
            <w:fldChar w:fldCharType="end"/>
          </w:r>
        </w:p>
        <w:p w14:paraId="1A0B9CBF">
          <w:pPr>
            <w:pStyle w:val="14"/>
            <w:tabs>
              <w:tab w:val="right" w:leader="dot" w:pos="8306"/>
            </w:tabs>
          </w:pPr>
          <w:r>
            <w:fldChar w:fldCharType="begin"/>
          </w:r>
          <w:r>
            <w:instrText xml:space="preserve"> HYPERLINK \l _Toc21471 </w:instrText>
          </w:r>
          <w:r>
            <w:fldChar w:fldCharType="separate"/>
          </w:r>
          <w:r>
            <w:rPr>
              <w:rFonts w:hint="default"/>
              <w:lang w:val="en-US" w:eastAsia="zh-CN"/>
            </w:rPr>
            <w:t xml:space="preserve">3.6.3. </w:t>
          </w:r>
          <w:r>
            <w:rPr>
              <w:rFonts w:hint="eastAsia"/>
              <w:lang w:val="en-US" w:eastAsia="zh-CN"/>
            </w:rPr>
            <w:t>应急响应</w:t>
          </w:r>
          <w:r>
            <w:tab/>
          </w:r>
          <w:r>
            <w:fldChar w:fldCharType="begin"/>
          </w:r>
          <w:r>
            <w:instrText xml:space="preserve"> PAGEREF _Toc21471 \h </w:instrText>
          </w:r>
          <w:r>
            <w:fldChar w:fldCharType="separate"/>
          </w:r>
          <w:r>
            <w:t>27</w:t>
          </w:r>
          <w:r>
            <w:fldChar w:fldCharType="end"/>
          </w:r>
          <w:r>
            <w:fldChar w:fldCharType="end"/>
          </w:r>
        </w:p>
        <w:p w14:paraId="1E64731C">
          <w:pPr>
            <w:pStyle w:val="14"/>
            <w:tabs>
              <w:tab w:val="right" w:leader="dot" w:pos="8306"/>
            </w:tabs>
          </w:pPr>
          <w:r>
            <w:fldChar w:fldCharType="begin"/>
          </w:r>
          <w:r>
            <w:instrText xml:space="preserve"> HYPERLINK \l _Toc10614 </w:instrText>
          </w:r>
          <w:r>
            <w:fldChar w:fldCharType="separate"/>
          </w:r>
          <w:r>
            <w:rPr>
              <w:rFonts w:hint="default"/>
              <w:lang w:val="en-US" w:eastAsia="zh-CN"/>
            </w:rPr>
            <w:t xml:space="preserve">3.6.4. </w:t>
          </w:r>
          <w:r>
            <w:rPr>
              <w:rFonts w:hint="eastAsia"/>
              <w:lang w:val="en-US" w:eastAsia="zh-CN"/>
            </w:rPr>
            <w:t>应急演练</w:t>
          </w:r>
          <w:r>
            <w:tab/>
          </w:r>
          <w:r>
            <w:fldChar w:fldCharType="begin"/>
          </w:r>
          <w:r>
            <w:instrText xml:space="preserve"> PAGEREF _Toc10614 \h </w:instrText>
          </w:r>
          <w:r>
            <w:fldChar w:fldCharType="separate"/>
          </w:r>
          <w:r>
            <w:t>28</w:t>
          </w:r>
          <w:r>
            <w:fldChar w:fldCharType="end"/>
          </w:r>
          <w:r>
            <w:fldChar w:fldCharType="end"/>
          </w:r>
        </w:p>
        <w:p w14:paraId="23F0E22A">
          <w:pPr>
            <w:pStyle w:val="17"/>
            <w:tabs>
              <w:tab w:val="right" w:leader="dot" w:pos="8306"/>
            </w:tabs>
          </w:pPr>
          <w:r>
            <w:fldChar w:fldCharType="begin"/>
          </w:r>
          <w:r>
            <w:instrText xml:space="preserve"> HYPERLINK \l _Toc4120 </w:instrText>
          </w:r>
          <w:r>
            <w:fldChar w:fldCharType="separate"/>
          </w:r>
          <w:r>
            <w:rPr>
              <w:rFonts w:hint="default"/>
              <w:lang w:val="en-US" w:eastAsia="zh-CN"/>
            </w:rPr>
            <w:t xml:space="preserve">4. </w:t>
          </w:r>
          <w:r>
            <w:rPr>
              <w:rFonts w:hint="eastAsia"/>
              <w:lang w:val="en-US" w:eastAsia="zh-CN"/>
            </w:rPr>
            <w:t>质量管理</w:t>
          </w:r>
          <w:r>
            <w:tab/>
          </w:r>
          <w:r>
            <w:fldChar w:fldCharType="begin"/>
          </w:r>
          <w:r>
            <w:instrText xml:space="preserve"> PAGEREF _Toc4120 \h </w:instrText>
          </w:r>
          <w:r>
            <w:fldChar w:fldCharType="separate"/>
          </w:r>
          <w:r>
            <w:t>29</w:t>
          </w:r>
          <w:r>
            <w:fldChar w:fldCharType="end"/>
          </w:r>
          <w:r>
            <w:fldChar w:fldCharType="end"/>
          </w:r>
        </w:p>
        <w:p w14:paraId="667A654B">
          <w:pPr>
            <w:pStyle w:val="19"/>
            <w:tabs>
              <w:tab w:val="right" w:leader="dot" w:pos="8306"/>
            </w:tabs>
          </w:pPr>
          <w:r>
            <w:fldChar w:fldCharType="begin"/>
          </w:r>
          <w:r>
            <w:instrText xml:space="preserve"> HYPERLINK \l _Toc23917 </w:instrText>
          </w:r>
          <w:r>
            <w:fldChar w:fldCharType="separate"/>
          </w:r>
          <w:r>
            <w:rPr>
              <w:rFonts w:hint="default"/>
              <w:lang w:val="en-US" w:eastAsia="zh-CN"/>
            </w:rPr>
            <w:t xml:space="preserve">4.1. </w:t>
          </w:r>
          <w:r>
            <w:rPr>
              <w:rFonts w:hint="eastAsia"/>
              <w:lang w:val="en-US" w:eastAsia="zh-CN"/>
            </w:rPr>
            <w:t>质量管理计划</w:t>
          </w:r>
          <w:r>
            <w:tab/>
          </w:r>
          <w:r>
            <w:fldChar w:fldCharType="begin"/>
          </w:r>
          <w:r>
            <w:instrText xml:space="preserve"> PAGEREF _Toc23917 \h </w:instrText>
          </w:r>
          <w:r>
            <w:fldChar w:fldCharType="separate"/>
          </w:r>
          <w:r>
            <w:t>29</w:t>
          </w:r>
          <w:r>
            <w:fldChar w:fldCharType="end"/>
          </w:r>
          <w:r>
            <w:fldChar w:fldCharType="end"/>
          </w:r>
        </w:p>
        <w:p w14:paraId="170C4917">
          <w:pPr>
            <w:pStyle w:val="14"/>
            <w:tabs>
              <w:tab w:val="right" w:leader="dot" w:pos="8306"/>
            </w:tabs>
          </w:pPr>
          <w:r>
            <w:fldChar w:fldCharType="begin"/>
          </w:r>
          <w:r>
            <w:instrText xml:space="preserve"> HYPERLINK \l _Toc2926 </w:instrText>
          </w:r>
          <w:r>
            <w:fldChar w:fldCharType="separate"/>
          </w:r>
          <w:r>
            <w:rPr>
              <w:rFonts w:hint="default"/>
              <w:lang w:val="en-US" w:eastAsia="zh-CN"/>
            </w:rPr>
            <w:t xml:space="preserve">4.1.1. </w:t>
          </w:r>
          <w:r>
            <w:rPr>
              <w:rFonts w:hint="eastAsia"/>
              <w:lang w:val="en-US" w:eastAsia="zh-CN"/>
            </w:rPr>
            <w:t>质量管理计划制定</w:t>
          </w:r>
          <w:r>
            <w:tab/>
          </w:r>
          <w:r>
            <w:fldChar w:fldCharType="begin"/>
          </w:r>
          <w:r>
            <w:instrText xml:space="preserve"> PAGEREF _Toc2926 \h </w:instrText>
          </w:r>
          <w:r>
            <w:fldChar w:fldCharType="separate"/>
          </w:r>
          <w:r>
            <w:t>29</w:t>
          </w:r>
          <w:r>
            <w:fldChar w:fldCharType="end"/>
          </w:r>
          <w:r>
            <w:fldChar w:fldCharType="end"/>
          </w:r>
        </w:p>
        <w:p w14:paraId="085444A4">
          <w:pPr>
            <w:pStyle w:val="14"/>
            <w:tabs>
              <w:tab w:val="right" w:leader="dot" w:pos="8306"/>
            </w:tabs>
          </w:pPr>
          <w:r>
            <w:fldChar w:fldCharType="begin"/>
          </w:r>
          <w:r>
            <w:instrText xml:space="preserve"> HYPERLINK \l _Toc12892 </w:instrText>
          </w:r>
          <w:r>
            <w:fldChar w:fldCharType="separate"/>
          </w:r>
          <w:r>
            <w:rPr>
              <w:rFonts w:hint="default"/>
              <w:lang w:val="en-US" w:eastAsia="zh-CN"/>
            </w:rPr>
            <w:t xml:space="preserve">4.1.2. </w:t>
          </w:r>
          <w:r>
            <w:rPr>
              <w:rFonts w:hint="eastAsia"/>
              <w:lang w:val="en-US" w:eastAsia="zh-CN"/>
            </w:rPr>
            <w:t>质量管理计划评审</w:t>
          </w:r>
          <w:r>
            <w:tab/>
          </w:r>
          <w:r>
            <w:fldChar w:fldCharType="begin"/>
          </w:r>
          <w:r>
            <w:instrText xml:space="preserve"> PAGEREF _Toc12892 \h </w:instrText>
          </w:r>
          <w:r>
            <w:fldChar w:fldCharType="separate"/>
          </w:r>
          <w:r>
            <w:t>29</w:t>
          </w:r>
          <w:r>
            <w:fldChar w:fldCharType="end"/>
          </w:r>
          <w:r>
            <w:fldChar w:fldCharType="end"/>
          </w:r>
        </w:p>
        <w:p w14:paraId="4F5A4621">
          <w:pPr>
            <w:pStyle w:val="19"/>
            <w:tabs>
              <w:tab w:val="right" w:leader="dot" w:pos="8306"/>
            </w:tabs>
          </w:pPr>
          <w:r>
            <w:fldChar w:fldCharType="begin"/>
          </w:r>
          <w:r>
            <w:instrText xml:space="preserve"> HYPERLINK \l _Toc4593 </w:instrText>
          </w:r>
          <w:r>
            <w:fldChar w:fldCharType="separate"/>
          </w:r>
          <w:r>
            <w:rPr>
              <w:rFonts w:hint="default"/>
              <w:lang w:val="en-US" w:eastAsia="zh-CN"/>
            </w:rPr>
            <w:t xml:space="preserve">4.2. </w:t>
          </w:r>
          <w:r>
            <w:rPr>
              <w:rFonts w:hint="eastAsia"/>
              <w:lang w:val="en-US" w:eastAsia="zh-CN"/>
            </w:rPr>
            <w:t>运维服务质量检查</w:t>
          </w:r>
          <w:r>
            <w:tab/>
          </w:r>
          <w:r>
            <w:fldChar w:fldCharType="begin"/>
          </w:r>
          <w:r>
            <w:instrText xml:space="preserve"> PAGEREF _Toc4593 \h </w:instrText>
          </w:r>
          <w:r>
            <w:fldChar w:fldCharType="separate"/>
          </w:r>
          <w:r>
            <w:t>29</w:t>
          </w:r>
          <w:r>
            <w:fldChar w:fldCharType="end"/>
          </w:r>
          <w:r>
            <w:fldChar w:fldCharType="end"/>
          </w:r>
        </w:p>
        <w:p w14:paraId="7646FFE6">
          <w:pPr>
            <w:pStyle w:val="19"/>
            <w:tabs>
              <w:tab w:val="right" w:leader="dot" w:pos="8306"/>
            </w:tabs>
          </w:pPr>
          <w:r>
            <w:fldChar w:fldCharType="begin"/>
          </w:r>
          <w:r>
            <w:instrText xml:space="preserve"> HYPERLINK \l _Toc132 </w:instrText>
          </w:r>
          <w:r>
            <w:fldChar w:fldCharType="separate"/>
          </w:r>
          <w:r>
            <w:rPr>
              <w:rFonts w:hint="default"/>
              <w:lang w:val="en-US" w:eastAsia="zh-CN"/>
            </w:rPr>
            <w:t xml:space="preserve">4.3. </w:t>
          </w:r>
          <w:r>
            <w:rPr>
              <w:rFonts w:hint="eastAsia"/>
              <w:lang w:val="en-US" w:eastAsia="zh-CN"/>
            </w:rPr>
            <w:t>客户满意度调查</w:t>
          </w:r>
          <w:r>
            <w:tab/>
          </w:r>
          <w:r>
            <w:fldChar w:fldCharType="begin"/>
          </w:r>
          <w:r>
            <w:instrText xml:space="preserve"> PAGEREF _Toc132 \h </w:instrText>
          </w:r>
          <w:r>
            <w:fldChar w:fldCharType="separate"/>
          </w:r>
          <w:r>
            <w:t>30</w:t>
          </w:r>
          <w:r>
            <w:fldChar w:fldCharType="end"/>
          </w:r>
          <w:r>
            <w:fldChar w:fldCharType="end"/>
          </w:r>
        </w:p>
        <w:p w14:paraId="05B71FB6">
          <w:pPr>
            <w:pStyle w:val="19"/>
            <w:tabs>
              <w:tab w:val="right" w:leader="dot" w:pos="8306"/>
            </w:tabs>
          </w:pPr>
          <w:r>
            <w:fldChar w:fldCharType="begin"/>
          </w:r>
          <w:r>
            <w:instrText xml:space="preserve"> HYPERLINK \l _Toc11657 </w:instrText>
          </w:r>
          <w:r>
            <w:fldChar w:fldCharType="separate"/>
          </w:r>
          <w:r>
            <w:rPr>
              <w:rFonts w:hint="default"/>
              <w:lang w:val="en-US" w:eastAsia="zh-CN"/>
            </w:rPr>
            <w:t xml:space="preserve">4.4. </w:t>
          </w:r>
          <w:r>
            <w:rPr>
              <w:rFonts w:hint="eastAsia"/>
              <w:lang w:val="en-US" w:eastAsia="zh-CN"/>
            </w:rPr>
            <w:t>内审和管理评审</w:t>
          </w:r>
          <w:r>
            <w:tab/>
          </w:r>
          <w:r>
            <w:fldChar w:fldCharType="begin"/>
          </w:r>
          <w:r>
            <w:instrText xml:space="preserve"> PAGEREF _Toc11657 \h </w:instrText>
          </w:r>
          <w:r>
            <w:fldChar w:fldCharType="separate"/>
          </w:r>
          <w:r>
            <w:t>31</w:t>
          </w:r>
          <w:r>
            <w:fldChar w:fldCharType="end"/>
          </w:r>
          <w:r>
            <w:fldChar w:fldCharType="end"/>
          </w:r>
        </w:p>
        <w:p w14:paraId="7517D8EE">
          <w:pPr>
            <w:pStyle w:val="19"/>
            <w:tabs>
              <w:tab w:val="right" w:leader="dot" w:pos="8306"/>
            </w:tabs>
          </w:pPr>
          <w:r>
            <w:fldChar w:fldCharType="begin"/>
          </w:r>
          <w:r>
            <w:instrText xml:space="preserve"> HYPERLINK \l _Toc6702 </w:instrText>
          </w:r>
          <w:r>
            <w:fldChar w:fldCharType="separate"/>
          </w:r>
          <w:r>
            <w:rPr>
              <w:rFonts w:hint="default"/>
              <w:lang w:val="en-US" w:eastAsia="zh-CN"/>
            </w:rPr>
            <w:t xml:space="preserve">4.5. </w:t>
          </w:r>
          <w:r>
            <w:rPr>
              <w:rFonts w:hint="eastAsia"/>
              <w:lang w:val="en-US" w:eastAsia="zh-CN"/>
            </w:rPr>
            <w:t>改进项处理</w:t>
          </w:r>
          <w:r>
            <w:tab/>
          </w:r>
          <w:r>
            <w:fldChar w:fldCharType="begin"/>
          </w:r>
          <w:r>
            <w:instrText xml:space="preserve"> PAGEREF _Toc6702 \h </w:instrText>
          </w:r>
          <w:r>
            <w:fldChar w:fldCharType="separate"/>
          </w:r>
          <w:r>
            <w:t>31</w:t>
          </w:r>
          <w:r>
            <w:fldChar w:fldCharType="end"/>
          </w:r>
          <w:r>
            <w:fldChar w:fldCharType="end"/>
          </w:r>
        </w:p>
        <w:p w14:paraId="71214E06">
          <w:pPr>
            <w:pStyle w:val="19"/>
            <w:tabs>
              <w:tab w:val="right" w:leader="dot" w:pos="8306"/>
            </w:tabs>
          </w:pPr>
          <w:r>
            <w:fldChar w:fldCharType="begin"/>
          </w:r>
          <w:r>
            <w:instrText xml:space="preserve"> HYPERLINK \l _Toc8019 </w:instrText>
          </w:r>
          <w:r>
            <w:fldChar w:fldCharType="separate"/>
          </w:r>
          <w:r>
            <w:rPr>
              <w:rFonts w:hint="default"/>
              <w:lang w:val="en-US" w:eastAsia="zh-CN"/>
            </w:rPr>
            <w:t xml:space="preserve">4.6. </w:t>
          </w:r>
          <w:r>
            <w:rPr>
              <w:rFonts w:hint="eastAsia"/>
              <w:lang w:val="en-US" w:eastAsia="zh-CN"/>
            </w:rPr>
            <w:t>质量培训</w:t>
          </w:r>
          <w:r>
            <w:tab/>
          </w:r>
          <w:r>
            <w:fldChar w:fldCharType="begin"/>
          </w:r>
          <w:r>
            <w:instrText xml:space="preserve"> PAGEREF _Toc8019 \h </w:instrText>
          </w:r>
          <w:r>
            <w:fldChar w:fldCharType="separate"/>
          </w:r>
          <w:r>
            <w:t>32</w:t>
          </w:r>
          <w:r>
            <w:fldChar w:fldCharType="end"/>
          </w:r>
          <w:r>
            <w:fldChar w:fldCharType="end"/>
          </w:r>
        </w:p>
        <w:p w14:paraId="00ED9F87">
          <w:pPr>
            <w:pStyle w:val="19"/>
            <w:tabs>
              <w:tab w:val="right" w:leader="dot" w:pos="8306"/>
            </w:tabs>
          </w:pPr>
          <w:r>
            <w:fldChar w:fldCharType="begin"/>
          </w:r>
          <w:r>
            <w:instrText xml:space="preserve"> HYPERLINK \l _Toc31766 </w:instrText>
          </w:r>
          <w:r>
            <w:fldChar w:fldCharType="separate"/>
          </w:r>
          <w:r>
            <w:rPr>
              <w:rFonts w:hint="default"/>
              <w:lang w:val="en-US" w:eastAsia="zh-CN"/>
            </w:rPr>
            <w:t xml:space="preserve">4.7. </w:t>
          </w:r>
          <w:r>
            <w:rPr>
              <w:rFonts w:hint="eastAsia"/>
              <w:lang w:val="en-US" w:eastAsia="zh-CN"/>
            </w:rPr>
            <w:t>质量管理工作汇报及总结</w:t>
          </w:r>
          <w:r>
            <w:tab/>
          </w:r>
          <w:r>
            <w:fldChar w:fldCharType="begin"/>
          </w:r>
          <w:r>
            <w:instrText xml:space="preserve"> PAGEREF _Toc31766 \h </w:instrText>
          </w:r>
          <w:r>
            <w:fldChar w:fldCharType="separate"/>
          </w:r>
          <w:r>
            <w:t>33</w:t>
          </w:r>
          <w:r>
            <w:fldChar w:fldCharType="end"/>
          </w:r>
          <w:r>
            <w:fldChar w:fldCharType="end"/>
          </w:r>
        </w:p>
        <w:p w14:paraId="5417E870">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47DB3ED4">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63E22573">
      <w:pPr>
        <w:pStyle w:val="18"/>
        <w:tabs>
          <w:tab w:val="right" w:leader="dot" w:pos="8306"/>
        </w:tabs>
      </w:pPr>
      <w:r>
        <w:fldChar w:fldCharType="begin"/>
      </w:r>
      <w:r>
        <w:instrText xml:space="preserve">TOC \h \c "表"</w:instrText>
      </w:r>
      <w:r>
        <w:fldChar w:fldCharType="separate"/>
      </w:r>
      <w:r>
        <w:fldChar w:fldCharType="begin"/>
      </w:r>
      <w:r>
        <w:instrText xml:space="preserve"> HYPERLINK \l _Toc534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2026年度人员招聘计划表</w:t>
      </w:r>
      <w:r>
        <w:tab/>
      </w:r>
      <w:r>
        <w:fldChar w:fldCharType="begin"/>
      </w:r>
      <w:r>
        <w:instrText xml:space="preserve"> PAGEREF _Toc534 \h </w:instrText>
      </w:r>
      <w:r>
        <w:fldChar w:fldCharType="separate"/>
      </w:r>
      <w:r>
        <w:t>8</w:t>
      </w:r>
      <w:r>
        <w:fldChar w:fldCharType="end"/>
      </w:r>
      <w:r>
        <w:fldChar w:fldCharType="end"/>
      </w:r>
    </w:p>
    <w:p w14:paraId="2583D365">
      <w:pPr>
        <w:pStyle w:val="18"/>
        <w:tabs>
          <w:tab w:val="right" w:leader="dot" w:pos="8306"/>
        </w:tabs>
      </w:pPr>
      <w:r>
        <w:fldChar w:fldCharType="begin"/>
      </w:r>
      <w:r>
        <w:instrText xml:space="preserve"> HYPERLINK \l _Toc19012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2 </w:t>
      </w:r>
      <w:r>
        <w:rPr>
          <w:rFonts w:hint="eastAsia"/>
          <w:lang w:val="en-US" w:eastAsia="zh-CN"/>
        </w:rPr>
        <w:t xml:space="preserve"> 2026年度人员内部储备计划表</w:t>
      </w:r>
      <w:r>
        <w:tab/>
      </w:r>
      <w:r>
        <w:fldChar w:fldCharType="begin"/>
      </w:r>
      <w:r>
        <w:instrText xml:space="preserve"> PAGEREF _Toc19012 \h </w:instrText>
      </w:r>
      <w:r>
        <w:fldChar w:fldCharType="separate"/>
      </w:r>
      <w:r>
        <w:t>9</w:t>
      </w:r>
      <w:r>
        <w:fldChar w:fldCharType="end"/>
      </w:r>
      <w:r>
        <w:fldChar w:fldCharType="end"/>
      </w:r>
    </w:p>
    <w:p w14:paraId="6D58759E">
      <w:pPr>
        <w:pStyle w:val="18"/>
        <w:tabs>
          <w:tab w:val="right" w:leader="dot" w:pos="8306"/>
        </w:tabs>
      </w:pPr>
      <w:r>
        <w:fldChar w:fldCharType="begin"/>
      </w:r>
      <w:r>
        <w:instrText xml:space="preserve"> HYPERLINK \l _Toc477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3 </w:t>
      </w:r>
      <w:r>
        <w:rPr>
          <w:rFonts w:hint="eastAsia"/>
          <w:lang w:val="en-US" w:eastAsia="zh-CN"/>
        </w:rPr>
        <w:t xml:space="preserve"> 2026年度人员招聘计划表</w:t>
      </w:r>
      <w:r>
        <w:tab/>
      </w:r>
      <w:r>
        <w:fldChar w:fldCharType="begin"/>
      </w:r>
      <w:r>
        <w:instrText xml:space="preserve"> PAGEREF _Toc477 \h </w:instrText>
      </w:r>
      <w:r>
        <w:fldChar w:fldCharType="separate"/>
      </w:r>
      <w:r>
        <w:t>10</w:t>
      </w:r>
      <w:r>
        <w:fldChar w:fldCharType="end"/>
      </w:r>
      <w:r>
        <w:fldChar w:fldCharType="end"/>
      </w:r>
    </w:p>
    <w:p w14:paraId="144D5C1F">
      <w:pPr>
        <w:pStyle w:val="18"/>
        <w:tabs>
          <w:tab w:val="right" w:leader="dot" w:pos="8306"/>
        </w:tabs>
      </w:pPr>
      <w:r>
        <w:fldChar w:fldCharType="begin"/>
      </w:r>
      <w:r>
        <w:instrText xml:space="preserve"> HYPERLINK \l _Toc29366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4 </w:t>
      </w:r>
      <w:r>
        <w:rPr>
          <w:rFonts w:hint="eastAsia"/>
          <w:lang w:val="en-US" w:eastAsia="zh-CN"/>
        </w:rPr>
        <w:t xml:space="preserve"> 2026年度人员培训预算汇总表</w:t>
      </w:r>
      <w:r>
        <w:tab/>
      </w:r>
      <w:r>
        <w:fldChar w:fldCharType="begin"/>
      </w:r>
      <w:r>
        <w:instrText xml:space="preserve"> PAGEREF _Toc29366 \h </w:instrText>
      </w:r>
      <w:r>
        <w:fldChar w:fldCharType="separate"/>
      </w:r>
      <w:r>
        <w:t>11</w:t>
      </w:r>
      <w:r>
        <w:fldChar w:fldCharType="end"/>
      </w:r>
      <w:r>
        <w:fldChar w:fldCharType="end"/>
      </w:r>
    </w:p>
    <w:p w14:paraId="63D2D6A2">
      <w:pPr>
        <w:pStyle w:val="18"/>
        <w:tabs>
          <w:tab w:val="right" w:leader="dot" w:pos="8306"/>
        </w:tabs>
      </w:pPr>
      <w:r>
        <w:fldChar w:fldCharType="begin"/>
      </w:r>
      <w:r>
        <w:instrText xml:space="preserve"> HYPERLINK \l _Toc7435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5 </w:t>
      </w:r>
      <w:r>
        <w:rPr>
          <w:rFonts w:hint="eastAsia"/>
          <w:lang w:val="en-US" w:eastAsia="zh-CN"/>
        </w:rPr>
        <w:t xml:space="preserve"> 2026年度人员关键岗位备份计划表</w:t>
      </w:r>
      <w:r>
        <w:tab/>
      </w:r>
      <w:r>
        <w:fldChar w:fldCharType="begin"/>
      </w:r>
      <w:r>
        <w:instrText xml:space="preserve"> PAGEREF _Toc7435 \h </w:instrText>
      </w:r>
      <w:r>
        <w:fldChar w:fldCharType="separate"/>
      </w:r>
      <w:r>
        <w:t>11</w:t>
      </w:r>
      <w:r>
        <w:fldChar w:fldCharType="end"/>
      </w:r>
      <w:r>
        <w:fldChar w:fldCharType="end"/>
      </w:r>
    </w:p>
    <w:p w14:paraId="6CCCFF6A">
      <w:pPr>
        <w:pStyle w:val="18"/>
        <w:tabs>
          <w:tab w:val="right" w:leader="dot" w:pos="8306"/>
        </w:tabs>
      </w:pPr>
      <w:r>
        <w:fldChar w:fldCharType="begin"/>
      </w:r>
      <w:r>
        <w:instrText xml:space="preserve"> HYPERLINK \l _Toc18655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6 </w:t>
      </w:r>
      <w:r>
        <w:rPr>
          <w:rFonts w:hint="eastAsia"/>
          <w:lang w:val="en-US" w:eastAsia="zh-CN"/>
        </w:rPr>
        <w:t xml:space="preserve"> 2026年度人员绩效考核计划表</w:t>
      </w:r>
      <w:r>
        <w:tab/>
      </w:r>
      <w:r>
        <w:fldChar w:fldCharType="begin"/>
      </w:r>
      <w:r>
        <w:instrText xml:space="preserve"> PAGEREF _Toc18655 \h </w:instrText>
      </w:r>
      <w:r>
        <w:fldChar w:fldCharType="separate"/>
      </w:r>
      <w:r>
        <w:t>12</w:t>
      </w:r>
      <w:r>
        <w:fldChar w:fldCharType="end"/>
      </w:r>
      <w:r>
        <w:fldChar w:fldCharType="end"/>
      </w:r>
    </w:p>
    <w:p w14:paraId="1A6686CC">
      <w:pPr>
        <w:pStyle w:val="18"/>
        <w:tabs>
          <w:tab w:val="right" w:leader="dot" w:pos="8306"/>
        </w:tabs>
      </w:pPr>
      <w:r>
        <w:fldChar w:fldCharType="begin"/>
      </w:r>
      <w:r>
        <w:instrText xml:space="preserve"> HYPERLINK \l _Toc4944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7 </w:t>
      </w:r>
      <w:r>
        <w:rPr>
          <w:rFonts w:hint="eastAsia"/>
          <w:lang w:val="en-US" w:eastAsia="zh-CN"/>
        </w:rPr>
        <w:t xml:space="preserve"> 2026年度人员技能评定周期表</w:t>
      </w:r>
      <w:r>
        <w:tab/>
      </w:r>
      <w:r>
        <w:fldChar w:fldCharType="begin"/>
      </w:r>
      <w:r>
        <w:instrText xml:space="preserve"> PAGEREF _Toc4944 \h </w:instrText>
      </w:r>
      <w:r>
        <w:fldChar w:fldCharType="separate"/>
      </w:r>
      <w:r>
        <w:t>12</w:t>
      </w:r>
      <w:r>
        <w:fldChar w:fldCharType="end"/>
      </w:r>
      <w:r>
        <w:fldChar w:fldCharType="end"/>
      </w:r>
    </w:p>
    <w:p w14:paraId="6BA0069D">
      <w:pPr>
        <w:pStyle w:val="18"/>
        <w:tabs>
          <w:tab w:val="right" w:leader="dot" w:pos="8306"/>
        </w:tabs>
      </w:pPr>
      <w:r>
        <w:fldChar w:fldCharType="begin"/>
      </w:r>
      <w:r>
        <w:instrText xml:space="preserve"> HYPERLINK \l _Toc24451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8 </w:t>
      </w:r>
      <w:r>
        <w:rPr>
          <w:rFonts w:hint="eastAsia"/>
          <w:lang w:val="en-US" w:eastAsia="zh-CN"/>
        </w:rPr>
        <w:t xml:space="preserve"> 2026年度人员技能等级划分表</w:t>
      </w:r>
      <w:r>
        <w:tab/>
      </w:r>
      <w:r>
        <w:fldChar w:fldCharType="begin"/>
      </w:r>
      <w:r>
        <w:instrText xml:space="preserve"> PAGEREF _Toc24451 \h </w:instrText>
      </w:r>
      <w:r>
        <w:fldChar w:fldCharType="separate"/>
      </w:r>
      <w:r>
        <w:t>12</w:t>
      </w:r>
      <w:r>
        <w:fldChar w:fldCharType="end"/>
      </w:r>
      <w:r>
        <w:fldChar w:fldCharType="end"/>
      </w:r>
    </w:p>
    <w:p w14:paraId="71828D66">
      <w:pPr>
        <w:pStyle w:val="18"/>
        <w:tabs>
          <w:tab w:val="right" w:leader="dot" w:pos="8306"/>
        </w:tabs>
      </w:pPr>
      <w:r>
        <w:fldChar w:fldCharType="begin"/>
      </w:r>
      <w:r>
        <w:instrText xml:space="preserve"> HYPERLINK \l _Toc4130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9 </w:t>
      </w:r>
      <w:r>
        <w:rPr>
          <w:rFonts w:hint="eastAsia"/>
          <w:lang w:val="en-US" w:eastAsia="zh-CN"/>
        </w:rPr>
        <w:t xml:space="preserve"> 2026年度人员技能评定内容表</w:t>
      </w:r>
      <w:r>
        <w:tab/>
      </w:r>
      <w:r>
        <w:fldChar w:fldCharType="begin"/>
      </w:r>
      <w:r>
        <w:instrText xml:space="preserve"> PAGEREF _Toc4130 \h </w:instrText>
      </w:r>
      <w:r>
        <w:fldChar w:fldCharType="separate"/>
      </w:r>
      <w:r>
        <w:t>13</w:t>
      </w:r>
      <w:r>
        <w:fldChar w:fldCharType="end"/>
      </w:r>
      <w:r>
        <w:fldChar w:fldCharType="end"/>
      </w:r>
    </w:p>
    <w:p w14:paraId="515DB026">
      <w:pPr>
        <w:pStyle w:val="18"/>
        <w:tabs>
          <w:tab w:val="right" w:leader="dot" w:pos="8306"/>
        </w:tabs>
      </w:pPr>
      <w:r>
        <w:fldChar w:fldCharType="begin"/>
      </w:r>
      <w:r>
        <w:instrText xml:space="preserve"> HYPERLINK \l _Toc21879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10 </w:t>
      </w:r>
      <w:r>
        <w:rPr>
          <w:rFonts w:hint="eastAsia"/>
          <w:lang w:val="en-US" w:eastAsia="zh-CN"/>
        </w:rPr>
        <w:t xml:space="preserve"> 2026年度人员技能评定结果应用表</w:t>
      </w:r>
      <w:r>
        <w:tab/>
      </w:r>
      <w:r>
        <w:fldChar w:fldCharType="begin"/>
      </w:r>
      <w:r>
        <w:instrText xml:space="preserve"> PAGEREF _Toc21879 \h </w:instrText>
      </w:r>
      <w:r>
        <w:fldChar w:fldCharType="separate"/>
      </w:r>
      <w:r>
        <w:t>13</w:t>
      </w:r>
      <w:r>
        <w:fldChar w:fldCharType="end"/>
      </w:r>
      <w:r>
        <w:fldChar w:fldCharType="end"/>
      </w:r>
    </w:p>
    <w:p w14:paraId="1FB6DBEA">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14:paraId="7CA73418">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29B3916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26A334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112"/>
      <w:r>
        <w:rPr>
          <w:rFonts w:hint="default"/>
          <w:lang w:val="en-US" w:eastAsia="zh-CN"/>
        </w:rPr>
        <w:t>公司现状分析</w:t>
      </w:r>
      <w:bookmarkEnd w:id="1"/>
    </w:p>
    <w:p w14:paraId="216B436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华风数据(深圳)有限公司是一家多元化发展的综合性科技公司，在人工智能、软件开发、汽车服务、金融服务等领域深耕与发展。2025年，公司按照ITSS三级要求构建了运维服务能力管理体系，取得了显著成效。</w:t>
      </w:r>
    </w:p>
    <w:p w14:paraId="00ABA55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14196"/>
      <w:r>
        <w:rPr>
          <w:rFonts w:hint="default"/>
          <w:lang w:val="en-US" w:eastAsia="zh-CN"/>
        </w:rPr>
        <w:t>优势分析</w:t>
      </w:r>
      <w:bookmarkEnd w:id="2"/>
    </w:p>
    <w:p w14:paraId="1BAB1B80">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组织架构完善：已建立与ITSS标准匹配的组织架构，设立运维部、研发部、产品质量部、综合部、采购部、应急管理部等职能部门</w:t>
      </w:r>
    </w:p>
    <w:p w14:paraId="430105DC">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制度体系健全：已完成人员管理、资源管理、过程管理、质量管理等核心制度共40余份文件的编制</w:t>
      </w:r>
    </w:p>
    <w:p w14:paraId="5F5BE65B">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工具支撑有力：已部署iTop运维管理平台和</w:t>
      </w:r>
      <w:r>
        <w:rPr>
          <w:rFonts w:hint="eastAsia"/>
          <w:lang w:val="en-US" w:eastAsia="zh-CN"/>
        </w:rPr>
        <w:t>华风数据</w:t>
      </w:r>
      <w:r>
        <w:rPr>
          <w:rFonts w:hint="default"/>
          <w:lang w:val="en-US" w:eastAsia="zh-CN"/>
        </w:rPr>
        <w:t>运维监控平台，2025年完成数据库监控模块研发，实现MySQL、Redis等数据库的全面监控</w:t>
      </w:r>
    </w:p>
    <w:p w14:paraId="6992CD14">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项目经验积累：已承接2025年国电电力湖南新能源系统运维项目等多个运维项目，积累了丰富的硬件巡检、故障处理、应急响应等实战经验</w:t>
      </w:r>
    </w:p>
    <w:p w14:paraId="2C397A09">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人员能力提升：2025年高等级人员（A+B级）占比从62.5%提升至75%</w:t>
      </w:r>
    </w:p>
    <w:p w14:paraId="19BF09BA">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服务质量达标：2025年全年服务可用性100%，客户满意度96.2分</w:t>
      </w:r>
    </w:p>
    <w:p w14:paraId="5AA40DE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7389"/>
      <w:r>
        <w:rPr>
          <w:rFonts w:hint="default"/>
          <w:lang w:val="en-US" w:eastAsia="zh-CN"/>
        </w:rPr>
        <w:t>待改进方面</w:t>
      </w:r>
      <w:bookmarkEnd w:id="3"/>
    </w:p>
    <w:p w14:paraId="34EB551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根据2025年度能力管理报告和各项总结，识别以下待改进方面：</w:t>
      </w:r>
    </w:p>
    <w:p w14:paraId="02E4845C">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人员招聘渠道单一：运维项目经理候选人来源渠道有限，招聘周期较长</w:t>
      </w:r>
    </w:p>
    <w:p w14:paraId="76728441">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储备人员实战经验不足：内部储备人员缺乏顶岗实习机会，实战能力有待加强</w:t>
      </w:r>
    </w:p>
    <w:p w14:paraId="6945CBA3">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用户操作熟练度差异：部分用户对系统熟练程度存在差异，影响业务处理效率</w:t>
      </w:r>
    </w:p>
    <w:p w14:paraId="689ABC77">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前端设备老化：部分门店前端设备使用年限较长，故障率有所上升</w:t>
      </w:r>
    </w:p>
    <w:p w14:paraId="7F803DBF">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数据完整性偶有不达标：2025年第二季度数据完整性为95%，未达到99%的目标</w:t>
      </w:r>
    </w:p>
    <w:p w14:paraId="21858340">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运维自动化水平有待提升：人工巡检工作量较大，存在操作失误风险</w:t>
      </w:r>
    </w:p>
    <w:p w14:paraId="6A5004F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4037"/>
      <w:r>
        <w:rPr>
          <w:rFonts w:hint="default"/>
          <w:lang w:val="en-US" w:eastAsia="zh-CN"/>
        </w:rPr>
        <w:t>运维业务分析</w:t>
      </w:r>
      <w:bookmarkEnd w:id="4"/>
    </w:p>
    <w:p w14:paraId="3EF47728">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5635"/>
      <w:r>
        <w:rPr>
          <w:rFonts w:hint="default"/>
          <w:lang w:val="en-US" w:eastAsia="zh-CN"/>
        </w:rPr>
        <w:t>开展运维服务的优势</w:t>
      </w:r>
      <w:bookmarkEnd w:id="5"/>
    </w:p>
    <w:p w14:paraId="6902D245">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组织架构完善：已建立与ITSS标准匹配的组织架构</w:t>
      </w:r>
    </w:p>
    <w:p w14:paraId="6F6078DD">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制度体系健全：已完成人员管理、资源管理、过程管理等核心制度编制</w:t>
      </w:r>
    </w:p>
    <w:p w14:paraId="3BCF804C">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工具支撑有力：已部署iTop运维管理平台和图云科技运维监控平台</w:t>
      </w:r>
    </w:p>
    <w:p w14:paraId="5E392347">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项目经验积累：已承接多个运维项目，积累了丰富的实战经验</w:t>
      </w:r>
    </w:p>
    <w:p w14:paraId="6BD5019E">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团队能力提升：2025年人员招聘、储备、培训、备份指标全部完成</w:t>
      </w:r>
    </w:p>
    <w:p w14:paraId="5C5C8F86">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0232"/>
      <w:r>
        <w:rPr>
          <w:rFonts w:hint="default"/>
          <w:lang w:val="en-US" w:eastAsia="zh-CN"/>
        </w:rPr>
        <w:t>开展运维服务的待改进方面</w:t>
      </w:r>
      <w:bookmarkEnd w:id="6"/>
    </w:p>
    <w:p w14:paraId="58AACAF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5999"/>
      <w:r>
        <w:rPr>
          <w:rFonts w:hint="default"/>
          <w:lang w:val="en-US" w:eastAsia="zh-CN"/>
        </w:rPr>
        <w:t>人员管理方面</w:t>
      </w:r>
      <w:bookmarkEnd w:id="7"/>
    </w:p>
    <w:p w14:paraId="2762E49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运维项目经理招聘渠道单一，需拓展猎头等多元化渠道</w:t>
      </w:r>
    </w:p>
    <w:p w14:paraId="078A373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储备人员实战经验不足，需加强顶岗实习和导师带教</w:t>
      </w:r>
    </w:p>
    <w:p w14:paraId="5E0FA35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部分用户操作熟练度存在差异，需组织进阶培训</w:t>
      </w:r>
    </w:p>
    <w:p w14:paraId="196124C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高等级人员占比仍有提升空间，2025年为75%，2026年目标提升至80%</w:t>
      </w:r>
    </w:p>
    <w:p w14:paraId="4C825DD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7684"/>
      <w:r>
        <w:rPr>
          <w:rFonts w:hint="default"/>
          <w:lang w:val="en-US" w:eastAsia="zh-CN"/>
        </w:rPr>
        <w:t>资源管理方面</w:t>
      </w:r>
      <w:bookmarkEnd w:id="8"/>
    </w:p>
    <w:p w14:paraId="50B164B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运维工具需持续优化，自动化巡检和数据完整性校验功能有待研发</w:t>
      </w:r>
    </w:p>
    <w:p w14:paraId="795D4E8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服务知识使用率和采纳率虽有提升，仍有优化空间（目标分别提升至95%和92%）</w:t>
      </w:r>
    </w:p>
    <w:p w14:paraId="1C40615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备件库管理需持续规范，针对前端设备老化需增加备件储备</w:t>
      </w:r>
    </w:p>
    <w:p w14:paraId="108D2A3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数据完整性需持续保持99%以上目标</w:t>
      </w:r>
    </w:p>
    <w:p w14:paraId="525C770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3350"/>
      <w:r>
        <w:rPr>
          <w:rFonts w:hint="default"/>
          <w:lang w:val="en-US" w:eastAsia="zh-CN"/>
        </w:rPr>
        <w:t>技术管理方面</w:t>
      </w:r>
      <w:bookmarkEnd w:id="9"/>
    </w:p>
    <w:p w14:paraId="4F17018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自动化运维能力有待提升，需研发自动化巡检工具</w:t>
      </w:r>
    </w:p>
    <w:p w14:paraId="29E4033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数据质量保障需加强，需研发数据完整性自动校验工具</w:t>
      </w:r>
    </w:p>
    <w:p w14:paraId="556E376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智能运维能力需建设，需研发根因分析、智能诊断功能</w:t>
      </w:r>
    </w:p>
    <w:p w14:paraId="7E57F49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运维工具整合优化需持续进行</w:t>
      </w:r>
    </w:p>
    <w:p w14:paraId="63002E4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4771"/>
      <w:r>
        <w:rPr>
          <w:rFonts w:hint="default"/>
          <w:lang w:val="en-US" w:eastAsia="zh-CN"/>
        </w:rPr>
        <w:t>过程管理方面</w:t>
      </w:r>
      <w:bookmarkEnd w:id="10"/>
    </w:p>
    <w:p w14:paraId="19C0EA8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服务级别协议（SLA）达成情况需持续监控</w:t>
      </w:r>
    </w:p>
    <w:p w14:paraId="3238C26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过程数据统计分析需加强</w:t>
      </w:r>
    </w:p>
    <w:p w14:paraId="3CAA175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服务报告的及时性和准确性需持续保持</w:t>
      </w:r>
    </w:p>
    <w:p w14:paraId="7D77F12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30081"/>
      <w:r>
        <w:rPr>
          <w:rFonts w:hint="default"/>
          <w:lang w:val="en-US" w:eastAsia="zh-CN"/>
        </w:rPr>
        <w:t>年度运维服务能力计划</w:t>
      </w:r>
      <w:bookmarkEnd w:id="11"/>
    </w:p>
    <w:p w14:paraId="01CB812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为实现公司运维服务的标准化、规范化，2026年公司将按照ITSS能力成熟度模型三级的要求，持续提升运维服务能力。</w:t>
      </w:r>
    </w:p>
    <w:p w14:paraId="046C887E">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1334"/>
      <w:r>
        <w:rPr>
          <w:rFonts w:hint="default"/>
          <w:lang w:val="en-US" w:eastAsia="zh-CN"/>
        </w:rPr>
        <w:t>人员管理规划</w:t>
      </w:r>
      <w:bookmarkEnd w:id="12"/>
    </w:p>
    <w:p w14:paraId="2FE04B09">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31754"/>
      <w:r>
        <w:rPr>
          <w:rFonts w:hint="eastAsia"/>
          <w:lang w:val="en-US" w:eastAsia="zh-CN"/>
        </w:rPr>
        <w:t>人员招聘计划</w:t>
      </w:r>
      <w:bookmarkEnd w:id="13"/>
    </w:p>
    <w:p w14:paraId="1945912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t>针对2025年问题的改进措施</w:t>
      </w:r>
      <w:r>
        <w:rPr>
          <w:rFonts w:hint="default"/>
        </w:rPr>
        <w:t>：针对2025年运维项目经理候选人来源渠道单一、招聘周期长的问题，2026年新增猎头招聘渠道，建立运维项目经理专项人才库，扩大候选人来源，提升岗位招聘效率。</w:t>
      </w:r>
    </w:p>
    <w:p w14:paraId="363426A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4" w:name="_Toc534"/>
      <w:r>
        <w:rPr>
          <w:rFonts w:hint="eastAsia"/>
          <w:lang w:val="en-US" w:eastAsia="zh-CN"/>
        </w:rPr>
        <w:t xml:space="preserve"> 2026年度人员招聘计划表</w:t>
      </w:r>
      <w:bookmarkEnd w:id="14"/>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08"/>
        <w:gridCol w:w="947"/>
        <w:gridCol w:w="1304"/>
        <w:gridCol w:w="1422"/>
        <w:gridCol w:w="1741"/>
        <w:gridCol w:w="625"/>
        <w:gridCol w:w="625"/>
        <w:gridCol w:w="625"/>
        <w:gridCol w:w="625"/>
      </w:tblGrid>
      <w:tr w14:paraId="6D2CD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614"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44A97DA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95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C468EC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部门</w:t>
            </w:r>
          </w:p>
        </w:tc>
        <w:tc>
          <w:tcPr>
            <w:tcW w:w="1322"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2DE15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岗位名称</w:t>
            </w:r>
          </w:p>
        </w:tc>
        <w:tc>
          <w:tcPr>
            <w:tcW w:w="1443"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23261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计划招聘总人数</w:t>
            </w:r>
          </w:p>
        </w:tc>
        <w:tc>
          <w:tcPr>
            <w:tcW w:w="1770"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46ED15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招聘方式</w:t>
            </w:r>
          </w:p>
        </w:tc>
        <w:tc>
          <w:tcPr>
            <w:tcW w:w="60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465B0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Q1</w:t>
            </w:r>
          </w:p>
        </w:tc>
        <w:tc>
          <w:tcPr>
            <w:tcW w:w="60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2E94C4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Q2</w:t>
            </w:r>
          </w:p>
        </w:tc>
        <w:tc>
          <w:tcPr>
            <w:tcW w:w="604"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B2702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Q3</w:t>
            </w:r>
          </w:p>
        </w:tc>
        <w:tc>
          <w:tcPr>
            <w:tcW w:w="604"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56F64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Q4</w:t>
            </w:r>
          </w:p>
        </w:tc>
      </w:tr>
      <w:tr w14:paraId="55B563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3EEAFF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95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837FF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132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C9F20C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44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C11EB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77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B1F36A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招聘网站/猎头/内部储备</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CC5A5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9985A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7A4767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EF622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r>
      <w:tr w14:paraId="4B38B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5E93B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95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80AE9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132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917B90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硬件运维工程师</w:t>
            </w:r>
          </w:p>
        </w:tc>
        <w:tc>
          <w:tcPr>
            <w:tcW w:w="144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F8F1B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77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9A36E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招聘网站</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249348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D19DBC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F29FB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A451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r>
      <w:tr w14:paraId="54F13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32D6C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w:t>
            </w:r>
          </w:p>
        </w:tc>
        <w:tc>
          <w:tcPr>
            <w:tcW w:w="95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E97BE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w:t>
            </w:r>
          </w:p>
        </w:tc>
        <w:tc>
          <w:tcPr>
            <w:tcW w:w="132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B0218E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软件运维工程师</w:t>
            </w:r>
          </w:p>
        </w:tc>
        <w:tc>
          <w:tcPr>
            <w:tcW w:w="144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BA1EF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77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48FA2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招聘网站</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DF6552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A708F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F6B6F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5AE35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r>
      <w:tr w14:paraId="442E9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5F53D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4</w:t>
            </w:r>
          </w:p>
        </w:tc>
        <w:tc>
          <w:tcPr>
            <w:tcW w:w="95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E61365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w:t>
            </w:r>
          </w:p>
        </w:tc>
        <w:tc>
          <w:tcPr>
            <w:tcW w:w="132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8F418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技术支持工程师</w:t>
            </w:r>
          </w:p>
        </w:tc>
        <w:tc>
          <w:tcPr>
            <w:tcW w:w="144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5D912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77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D393AA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招聘网站</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8D922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128DC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C14883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17D7A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r>
      <w:tr w14:paraId="4D91B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5A1976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w:t>
            </w:r>
          </w:p>
        </w:tc>
        <w:tc>
          <w:tcPr>
            <w:tcW w:w="95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993DB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w:t>
            </w:r>
          </w:p>
        </w:tc>
        <w:tc>
          <w:tcPr>
            <w:tcW w:w="132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FAF66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产品质量部专员</w:t>
            </w:r>
          </w:p>
        </w:tc>
        <w:tc>
          <w:tcPr>
            <w:tcW w:w="144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60CFD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77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603CC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招聘网站</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B042F0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5FAA7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c>
          <w:tcPr>
            <w:tcW w:w="604"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6BC06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57279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w:t>
            </w:r>
          </w:p>
        </w:tc>
      </w:tr>
      <w:tr w14:paraId="7024E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14"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5381E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合计</w:t>
            </w:r>
          </w:p>
        </w:tc>
        <w:tc>
          <w:tcPr>
            <w:tcW w:w="95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531741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p>
        </w:tc>
        <w:tc>
          <w:tcPr>
            <w:tcW w:w="1322"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C79C22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p>
        </w:tc>
        <w:tc>
          <w:tcPr>
            <w:tcW w:w="144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09434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5</w:t>
            </w:r>
          </w:p>
        </w:tc>
        <w:tc>
          <w:tcPr>
            <w:tcW w:w="177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EDF4E7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p>
        </w:tc>
        <w:tc>
          <w:tcPr>
            <w:tcW w:w="60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FA86B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7413466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1</w:t>
            </w:r>
          </w:p>
        </w:tc>
        <w:tc>
          <w:tcPr>
            <w:tcW w:w="60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942E5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2</w:t>
            </w:r>
          </w:p>
        </w:tc>
        <w:tc>
          <w:tcPr>
            <w:tcW w:w="604"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C7557E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1</w:t>
            </w:r>
          </w:p>
        </w:tc>
      </w:tr>
    </w:tbl>
    <w:p w14:paraId="6B629A8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KPI指标：人员招聘计划达成率 ≥80%（季度）</w:t>
      </w:r>
    </w:p>
    <w:p w14:paraId="3CD62C5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14836"/>
      <w:r>
        <w:rPr>
          <w:rFonts w:hint="eastAsia"/>
          <w:lang w:val="en-US" w:eastAsia="zh-CN"/>
        </w:rPr>
        <w:t>人员储备计划</w:t>
      </w:r>
      <w:bookmarkEnd w:id="15"/>
    </w:p>
    <w:p w14:paraId="1278FEF4">
      <w:pPr>
        <w:pStyle w:val="32"/>
        <w:rPr>
          <w:rFonts w:hint="eastAsia"/>
          <w:lang w:val="en-US" w:eastAsia="zh-CN"/>
        </w:rPr>
      </w:pPr>
      <w:r>
        <w:rPr>
          <w:rFonts w:hint="eastAsia"/>
          <w:lang w:val="en-US" w:eastAsia="zh-CN"/>
        </w:rPr>
        <w:t>针对2025年问题的改进措施：针对2025年储备人员实战经验不足的问题，2026年将加强以下培养措施：</w:t>
      </w:r>
    </w:p>
    <w:p w14:paraId="4E2390EC">
      <w:pPr>
        <w:pStyle w:val="32"/>
        <w:numPr>
          <w:ilvl w:val="0"/>
          <w:numId w:val="5"/>
        </w:numPr>
        <w:ind w:left="425" w:leftChars="0" w:hanging="425" w:firstLineChars="0"/>
        <w:rPr>
          <w:rFonts w:hint="eastAsia"/>
          <w:lang w:val="en-US" w:eastAsia="zh-CN"/>
        </w:rPr>
      </w:pPr>
      <w:r>
        <w:rPr>
          <w:rFonts w:hint="eastAsia"/>
          <w:lang w:val="en-US" w:eastAsia="zh-CN"/>
        </w:rPr>
        <w:t>顶岗实习：每季度至少安排储备人员顶岗实习2天，在A角指导下实际承担储备岗位的部分工作</w:t>
      </w:r>
    </w:p>
    <w:p w14:paraId="48099EE4">
      <w:pPr>
        <w:pStyle w:val="32"/>
        <w:numPr>
          <w:ilvl w:val="0"/>
          <w:numId w:val="5"/>
        </w:numPr>
        <w:ind w:left="425" w:leftChars="0" w:hanging="425" w:firstLineChars="0"/>
        <w:rPr>
          <w:rFonts w:hint="eastAsia"/>
          <w:lang w:val="en-US" w:eastAsia="zh-CN"/>
        </w:rPr>
      </w:pPr>
      <w:r>
        <w:rPr>
          <w:rFonts w:hint="eastAsia"/>
          <w:lang w:val="en-US" w:eastAsia="zh-CN"/>
        </w:rPr>
        <w:t>导师带教：建立导师带教机制，由经验丰富的在岗人员对储备人员进行一对一指导</w:t>
      </w:r>
    </w:p>
    <w:p w14:paraId="18B7242B">
      <w:pPr>
        <w:pStyle w:val="32"/>
        <w:numPr>
          <w:ilvl w:val="0"/>
          <w:numId w:val="5"/>
        </w:numPr>
        <w:ind w:left="425" w:leftChars="0" w:hanging="425" w:firstLineChars="0"/>
        <w:rPr>
          <w:rFonts w:hint="eastAsia"/>
          <w:lang w:val="en-US" w:eastAsia="zh-CN"/>
        </w:rPr>
      </w:pPr>
      <w:r>
        <w:rPr>
          <w:rFonts w:hint="eastAsia"/>
          <w:lang w:val="en-US" w:eastAsia="zh-CN"/>
        </w:rPr>
        <w:t>实战演练：组织储备人员参与应急演练和重大故障处理，积累实战经验</w:t>
      </w:r>
    </w:p>
    <w:p w14:paraId="2571223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6" w:name="_Toc19012"/>
      <w:r>
        <w:rPr>
          <w:rFonts w:hint="eastAsia"/>
          <w:lang w:val="en-US" w:eastAsia="zh-CN"/>
        </w:rPr>
        <w:t xml:space="preserve"> 2026年度人员内部储备计划表</w:t>
      </w:r>
      <w:bookmarkEnd w:id="16"/>
    </w:p>
    <w:tbl>
      <w:tblPr>
        <w:tblStyle w:val="23"/>
        <w:tblW w:w="849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39"/>
        <w:gridCol w:w="1696"/>
        <w:gridCol w:w="1905"/>
        <w:gridCol w:w="1278"/>
        <w:gridCol w:w="1696"/>
        <w:gridCol w:w="1279"/>
      </w:tblGrid>
      <w:tr w14:paraId="03834C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11658F0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8B0989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计划完成时间</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735D9C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储备岗位</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7C7EC9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储备方式</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C1D215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储备目标人数</w:t>
            </w:r>
          </w:p>
        </w:tc>
        <w:tc>
          <w:tcPr>
            <w:tcW w:w="1279"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254D5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储备来源</w:t>
            </w:r>
          </w:p>
        </w:tc>
      </w:tr>
      <w:tr w14:paraId="17A89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4A949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84C30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2026年6月</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E1A32E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软件运维工程师</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37092F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49661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279"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67046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内部选拔</w:t>
            </w:r>
          </w:p>
        </w:tc>
      </w:tr>
      <w:tr w14:paraId="07CEDD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39"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6A342E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169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0F5DD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2026年12月</w:t>
            </w:r>
          </w:p>
        </w:tc>
        <w:tc>
          <w:tcPr>
            <w:tcW w:w="1905"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49470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技术支持工程师</w:t>
            </w:r>
          </w:p>
        </w:tc>
        <w:tc>
          <w:tcPr>
            <w:tcW w:w="127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F5695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内部培养</w:t>
            </w:r>
          </w:p>
        </w:tc>
        <w:tc>
          <w:tcPr>
            <w:tcW w:w="169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D696E0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1人</w:t>
            </w:r>
          </w:p>
        </w:tc>
        <w:tc>
          <w:tcPr>
            <w:tcW w:w="127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6C218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内部选拔</w:t>
            </w:r>
          </w:p>
        </w:tc>
      </w:tr>
    </w:tbl>
    <w:p w14:paraId="359CAA2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KPI指标：人员储备计划达成率≥ 80%</w:t>
      </w:r>
      <w:r>
        <w:rPr>
          <w:rFonts w:hint="default"/>
          <w:lang w:val="en-US" w:eastAsia="zh-CN"/>
        </w:rPr>
        <w:t>（季度）</w:t>
      </w:r>
    </w:p>
    <w:p w14:paraId="16B4E1C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7237"/>
      <w:r>
        <w:rPr>
          <w:rFonts w:hint="eastAsia"/>
          <w:lang w:val="en-US" w:eastAsia="zh-CN"/>
        </w:rPr>
        <w:t>人员培训计划</w:t>
      </w:r>
      <w:bookmarkEnd w:id="17"/>
    </w:p>
    <w:p w14:paraId="23AE467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rPr>
        <w:t>本年度培训在延续管理、技术、操作三个维度的基础上，重点强化了自动化运维、数据质量保障、进阶故障处理等方向，以支撑公司2026年研发规划和业务发展需求。培训的组织实施与效果评估由综合部统筹，产品质量部负责监督，各部门协同配合，共同确保培训工作的有效落地。所有培训记录、课件及相关资料由综合部统一汇总归档。</w:t>
      </w:r>
    </w:p>
    <w:p w14:paraId="5E2F3AE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sectPr>
          <w:pgSz w:w="11906" w:h="16838"/>
          <w:pgMar w:top="1440" w:right="1800" w:bottom="1440" w:left="1800" w:header="851" w:footer="992" w:gutter="0"/>
          <w:cols w:space="425" w:num="1"/>
          <w:docGrid w:type="lines" w:linePitch="312" w:charSpace="0"/>
        </w:sectPr>
      </w:pPr>
    </w:p>
    <w:p w14:paraId="125C37C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hAnsi="Segoe UI" w:eastAsia="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8" w:name="_Toc477"/>
      <w:r>
        <w:rPr>
          <w:rFonts w:hint="eastAsia"/>
          <w:lang w:val="en-US" w:eastAsia="zh-CN"/>
        </w:rPr>
        <w:t xml:space="preserve"> 2026年度人员招聘计划表</w:t>
      </w:r>
      <w:bookmarkEnd w:id="18"/>
    </w:p>
    <w:tbl>
      <w:tblPr>
        <w:tblStyle w:val="23"/>
        <w:tblW w:w="1417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9"/>
        <w:gridCol w:w="782"/>
        <w:gridCol w:w="2296"/>
        <w:gridCol w:w="1161"/>
        <w:gridCol w:w="1538"/>
        <w:gridCol w:w="1348"/>
        <w:gridCol w:w="1161"/>
        <w:gridCol w:w="1393"/>
        <w:gridCol w:w="1163"/>
        <w:gridCol w:w="1350"/>
        <w:gridCol w:w="1353"/>
      </w:tblGrid>
      <w:tr w14:paraId="30BC9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629"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A6DD6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类型</w:t>
            </w:r>
          </w:p>
        </w:tc>
        <w:tc>
          <w:tcPr>
            <w:tcW w:w="782"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B0917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序号</w:t>
            </w:r>
          </w:p>
        </w:tc>
        <w:tc>
          <w:tcPr>
            <w:tcW w:w="2296"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338CA8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培训内容</w:t>
            </w:r>
          </w:p>
        </w:tc>
        <w:tc>
          <w:tcPr>
            <w:tcW w:w="1161"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8DCB9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培训时长</w:t>
            </w:r>
          </w:p>
        </w:tc>
        <w:tc>
          <w:tcPr>
            <w:tcW w:w="153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A51FBF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培训对象</w:t>
            </w:r>
          </w:p>
        </w:tc>
        <w:tc>
          <w:tcPr>
            <w:tcW w:w="134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5EC1E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培训老师</w:t>
            </w:r>
          </w:p>
        </w:tc>
        <w:tc>
          <w:tcPr>
            <w:tcW w:w="1161"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2DBD3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培训方式</w:t>
            </w:r>
          </w:p>
        </w:tc>
        <w:tc>
          <w:tcPr>
            <w:tcW w:w="1393"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26C552A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计划时间</w:t>
            </w:r>
          </w:p>
        </w:tc>
        <w:tc>
          <w:tcPr>
            <w:tcW w:w="1162"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22DAA3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考核方式</w:t>
            </w:r>
          </w:p>
        </w:tc>
        <w:tc>
          <w:tcPr>
            <w:tcW w:w="134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8E2C0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负责部门</w:t>
            </w:r>
          </w:p>
        </w:tc>
        <w:tc>
          <w:tcPr>
            <w:tcW w:w="135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4733EF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Fonts w:hint="default" w:ascii="Segoe UI" w:hAnsi="Segoe UI" w:eastAsia="Segoe UI" w:cs="Segoe UI"/>
                <w:b/>
                <w:i w:val="0"/>
                <w:iCs w:val="0"/>
                <w:caps w:val="0"/>
                <w:snapToGrid w:val="0"/>
                <w:color w:val="000000"/>
                <w:spacing w:val="0"/>
                <w:kern w:val="0"/>
                <w:sz w:val="13"/>
                <w:szCs w:val="13"/>
                <w:lang w:val="en-US" w:eastAsia="zh-CN"/>
              </w:rPr>
              <w:t>预算（元）</w:t>
            </w:r>
          </w:p>
        </w:tc>
      </w:tr>
      <w:tr w14:paraId="482C9F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15DD00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F2CCC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815C8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新员工入职培训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391B3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2.5h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77193F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入职新员工</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C01AE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黄剑锋</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86E0C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E5FF9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入职一周内</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57168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口头提问</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36B26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综合部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D476B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500</w:t>
            </w:r>
          </w:p>
        </w:tc>
      </w:tr>
      <w:tr w14:paraId="4F5048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7895CF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0960F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5A3DD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ITSS运维体系培训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54F219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4h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9C935C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部门经理</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44D4E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外部专家</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653D4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00ED4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2026年1月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BEBE7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现场交流</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C7FD3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7CAA6C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4000</w:t>
            </w:r>
          </w:p>
        </w:tc>
      </w:tr>
      <w:tr w14:paraId="6E5DB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62FB5A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A0C80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FF7A62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质量管理培训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864F6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39D27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部门经理</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EBD68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熊振翔</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A2EAD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48847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2026年2月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6CC4B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现场交流</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2D838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产品质量部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57CD3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1200</w:t>
            </w:r>
          </w:p>
        </w:tc>
      </w:tr>
      <w:tr w14:paraId="19292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6E4E25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技术</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0B8C2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4</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9C60D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数据库监控工具培训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C7D8C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27CFD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运维工程师</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44A31F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石宝升</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A38EDE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7B1DC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2026年3月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7FE38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实操考核</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77552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研发部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B0FE2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800</w:t>
            </w:r>
          </w:p>
        </w:tc>
      </w:tr>
      <w:tr w14:paraId="7211D7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87688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技术</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BDA54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5</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AAF3B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自动化运维培训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73850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4h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A0765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运维工程师</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8865D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外部专家</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7E78B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35DB4A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2026年4月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3C8E2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心得总结</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223DD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研发部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14B952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3000</w:t>
            </w:r>
          </w:p>
        </w:tc>
      </w:tr>
      <w:tr w14:paraId="7B0E9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200EFD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技术</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EFF8C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6</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16104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安全加固与漏洞管理</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85B863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A0847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运维相关人员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E9EDD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外部专家</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1F4F4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0F85F4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2026年5月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E9E52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现场交流</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FC075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EBBCF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2500</w:t>
            </w:r>
          </w:p>
        </w:tc>
      </w:tr>
      <w:tr w14:paraId="26059E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67A8D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技术</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241BE5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7</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E26DC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进阶故障处理培训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5763F2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5C941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运维工程师</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0929B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姚耿桂</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59F611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6F3FF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2026年6月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8230F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案例答辩</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C6F25B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EDEE1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1200</w:t>
            </w:r>
          </w:p>
        </w:tc>
      </w:tr>
      <w:tr w14:paraId="4435FD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976FE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技术</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8526CD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8</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D6424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性能优化培训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C2862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4EC2AC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运维工程师</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37CE4A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石宝升</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48C9E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EA5A1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2026年7月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7C61F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现场交流</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6337B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研发部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FA910F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800</w:t>
            </w:r>
          </w:p>
        </w:tc>
      </w:tr>
      <w:tr w14:paraId="6BCE3D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50AA67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操作</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D64D6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9</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E7F06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服务台进阶培训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63857A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A3E58C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服务台专员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69A47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姚耿桂</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B9D1C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917B88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2026年8月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66788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口头提问</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567803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43DC5B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500</w:t>
            </w:r>
          </w:p>
        </w:tc>
      </w:tr>
      <w:tr w14:paraId="684EA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EF3B01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4E96F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10</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9CDCDC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服务知识管理培训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5241E8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09286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运维相关人员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640CA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石宝升</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8D60D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D6D30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2026年9月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05C16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口头提问</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D8B954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研发部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FFD9BF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500</w:t>
            </w:r>
          </w:p>
        </w:tc>
      </w:tr>
      <w:tr w14:paraId="537A8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A0496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51C6A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11</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87FE73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信息安全风险培训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91A4D2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3h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BA6DD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运维相关人员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2361E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外部专家</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29D55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外训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16EEC3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2026年10月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77B9AE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现场交流</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AAD217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9DDE99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4800</w:t>
            </w:r>
          </w:p>
        </w:tc>
      </w:tr>
      <w:tr w14:paraId="03003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F2ACA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操作</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2B7A2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12</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5AE0A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备件管理制度培训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581271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1.5h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F411F2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备件管理人员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E7C15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刘文桂</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16630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A3912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2026年11月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1FB0D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口头提问</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A41F6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综合部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B1349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500</w:t>
            </w:r>
          </w:p>
        </w:tc>
      </w:tr>
      <w:tr w14:paraId="47081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39FDC8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C0350A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13</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44149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数据管理与完整性培训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57F16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F2A40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运维相关人员</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F3DED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产品质量部经理</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444AE3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D4C043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w:t>
            </w:r>
            <w:r>
              <w:rPr>
                <w:rFonts w:hint="eastAsia" w:ascii="Segoe UI" w:hAnsi="Segoe UI" w:eastAsia="Segoe UI" w:cs="Segoe UI"/>
                <w:i w:val="0"/>
                <w:iCs w:val="0"/>
                <w:caps w:val="0"/>
                <w:snapToGrid w:val="0"/>
                <w:color w:val="000000"/>
                <w:spacing w:val="0"/>
                <w:kern w:val="0"/>
                <w:sz w:val="13"/>
                <w:szCs w:val="13"/>
                <w:lang w:val="en-US" w:eastAsia="zh-CN"/>
              </w:rPr>
              <w:t>11</w:t>
            </w:r>
            <w:bookmarkStart w:id="83" w:name="_GoBack"/>
            <w:bookmarkEnd w:id="83"/>
            <w:r>
              <w:rPr>
                <w:rFonts w:hint="default" w:ascii="Segoe UI" w:hAnsi="Segoe UI" w:eastAsia="Segoe UI" w:cs="Segoe UI"/>
                <w:i w:val="0"/>
                <w:iCs w:val="0"/>
                <w:caps w:val="0"/>
                <w:snapToGrid w:val="0"/>
                <w:color w:val="000000"/>
                <w:spacing w:val="0"/>
                <w:kern w:val="0"/>
                <w:sz w:val="13"/>
                <w:szCs w:val="13"/>
                <w:lang w:val="en-US" w:eastAsia="zh-CN"/>
              </w:rPr>
              <w:t>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718CA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笔试</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4E6D5E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产品质量部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98D40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800</w:t>
            </w:r>
          </w:p>
        </w:tc>
      </w:tr>
      <w:tr w14:paraId="3E9E5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6550B9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管理</w:t>
            </w:r>
          </w:p>
        </w:tc>
        <w:tc>
          <w:tcPr>
            <w:tcW w:w="78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EF3636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14</w:t>
            </w:r>
          </w:p>
        </w:tc>
        <w:tc>
          <w:tcPr>
            <w:tcW w:w="229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2859E5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年度技能评定培训</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B208B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2h</w:t>
            </w:r>
          </w:p>
        </w:tc>
        <w:tc>
          <w:tcPr>
            <w:tcW w:w="15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90A21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全体员工</w:t>
            </w:r>
          </w:p>
        </w:tc>
        <w:tc>
          <w:tcPr>
            <w:tcW w:w="134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7AFBE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产品质量部经理</w:t>
            </w:r>
          </w:p>
        </w:tc>
        <w:tc>
          <w:tcPr>
            <w:tcW w:w="1161"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72257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内训</w:t>
            </w:r>
          </w:p>
        </w:tc>
        <w:tc>
          <w:tcPr>
            <w:tcW w:w="1393"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2A3954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2026年12月</w:t>
            </w:r>
          </w:p>
        </w:tc>
        <w:tc>
          <w:tcPr>
            <w:tcW w:w="116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771919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笔试</w:t>
            </w:r>
          </w:p>
        </w:tc>
        <w:tc>
          <w:tcPr>
            <w:tcW w:w="134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B9F8B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产品质量部</w:t>
            </w:r>
          </w:p>
        </w:tc>
        <w:tc>
          <w:tcPr>
            <w:tcW w:w="135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E10BB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3"/>
                <w:szCs w:val="13"/>
              </w:rPr>
            </w:pPr>
            <w:r>
              <w:rPr>
                <w:rFonts w:hint="default" w:ascii="Segoe UI" w:hAnsi="Segoe UI" w:eastAsia="Segoe UI" w:cs="Segoe UI"/>
                <w:i w:val="0"/>
                <w:iCs w:val="0"/>
                <w:caps w:val="0"/>
                <w:snapToGrid w:val="0"/>
                <w:color w:val="000000"/>
                <w:spacing w:val="0"/>
                <w:kern w:val="0"/>
                <w:sz w:val="13"/>
                <w:szCs w:val="13"/>
                <w:lang w:val="en-US" w:eastAsia="zh-CN"/>
              </w:rPr>
              <w:t>1000</w:t>
            </w:r>
          </w:p>
        </w:tc>
      </w:tr>
      <w:tr w14:paraId="14EF45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9"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4BA76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r>
              <w:rPr>
                <w:rStyle w:val="26"/>
                <w:rFonts w:hint="default" w:ascii="Segoe UI" w:hAnsi="Segoe UI" w:eastAsia="Segoe UI" w:cs="Segoe UI"/>
                <w:b/>
                <w:bCs/>
                <w:i w:val="0"/>
                <w:iCs w:val="0"/>
                <w:caps w:val="0"/>
                <w:snapToGrid w:val="0"/>
                <w:color w:val="000000"/>
                <w:spacing w:val="0"/>
                <w:kern w:val="0"/>
                <w:sz w:val="13"/>
                <w:szCs w:val="13"/>
                <w:lang w:val="en-US" w:eastAsia="zh-CN"/>
              </w:rPr>
              <w:t>合计</w:t>
            </w:r>
          </w:p>
        </w:tc>
        <w:tc>
          <w:tcPr>
            <w:tcW w:w="782"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74F8811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p>
        </w:tc>
        <w:tc>
          <w:tcPr>
            <w:tcW w:w="229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B6C21E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p>
        </w:tc>
        <w:tc>
          <w:tcPr>
            <w:tcW w:w="1161"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43BF7B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13"/>
                <w:szCs w:val="13"/>
              </w:rPr>
            </w:pPr>
          </w:p>
        </w:tc>
        <w:tc>
          <w:tcPr>
            <w:tcW w:w="153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EB074D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13"/>
                <w:szCs w:val="13"/>
              </w:rPr>
            </w:pPr>
          </w:p>
        </w:tc>
        <w:tc>
          <w:tcPr>
            <w:tcW w:w="134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45FAD9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p>
        </w:tc>
        <w:tc>
          <w:tcPr>
            <w:tcW w:w="1161"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97C1E2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13"/>
                <w:szCs w:val="13"/>
              </w:rPr>
            </w:pPr>
          </w:p>
        </w:tc>
        <w:tc>
          <w:tcPr>
            <w:tcW w:w="139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9B64C5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p>
        </w:tc>
        <w:tc>
          <w:tcPr>
            <w:tcW w:w="1162"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943214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3"/>
                <w:szCs w:val="13"/>
              </w:rPr>
            </w:pPr>
          </w:p>
        </w:tc>
        <w:tc>
          <w:tcPr>
            <w:tcW w:w="134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FE0603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13"/>
                <w:szCs w:val="13"/>
              </w:rPr>
            </w:pPr>
          </w:p>
        </w:tc>
        <w:tc>
          <w:tcPr>
            <w:tcW w:w="135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D4DF6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b/>
                <w:i w:val="0"/>
                <w:iCs w:val="0"/>
                <w:caps w:val="0"/>
                <w:color w:val="0F1115"/>
                <w:spacing w:val="0"/>
                <w:sz w:val="13"/>
                <w:szCs w:val="13"/>
              </w:rPr>
            </w:pPr>
            <w:r>
              <w:rPr>
                <w:rStyle w:val="26"/>
                <w:rFonts w:hint="default" w:ascii="Segoe UI" w:hAnsi="Segoe UI" w:eastAsia="Segoe UI" w:cs="Segoe UI"/>
                <w:b/>
                <w:bCs/>
                <w:i w:val="0"/>
                <w:iCs w:val="0"/>
                <w:caps w:val="0"/>
                <w:snapToGrid w:val="0"/>
                <w:color w:val="000000"/>
                <w:spacing w:val="0"/>
                <w:kern w:val="0"/>
                <w:sz w:val="13"/>
                <w:szCs w:val="13"/>
                <w:lang w:val="en-US" w:eastAsia="zh-CN"/>
              </w:rPr>
              <w:t>22100</w:t>
            </w:r>
          </w:p>
        </w:tc>
      </w:tr>
    </w:tbl>
    <w:p w14:paraId="5538BEB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sectPr>
          <w:pgSz w:w="16838" w:h="11906" w:orient="landscape"/>
          <w:pgMar w:top="1800" w:right="1440" w:bottom="1800" w:left="1440" w:header="851" w:footer="992" w:gutter="0"/>
          <w:cols w:space="425" w:num="1"/>
          <w:docGrid w:type="lines" w:linePitch="312" w:charSpace="0"/>
        </w:sectPr>
      </w:pPr>
      <w:r>
        <w:rPr>
          <w:rFonts w:hint="eastAsia" w:ascii="Segoe UI" w:hAnsi="Segoe UI" w:eastAsia="Segoe UI" w:cs="Segoe UI"/>
          <w:i w:val="0"/>
          <w:iCs w:val="0"/>
          <w:caps w:val="0"/>
          <w:color w:val="0F1115"/>
          <w:spacing w:val="0"/>
          <w:sz w:val="24"/>
          <w:szCs w:val="24"/>
          <w:shd w:val="clear" w:color="auto" w:fill="FFFFFF"/>
          <w:lang w:val="en-US" w:eastAsia="zh-CN"/>
        </w:rPr>
        <w:br w:type="page"/>
      </w:r>
    </w:p>
    <w:p w14:paraId="5AFF993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9" w:name="_Toc29366"/>
      <w:r>
        <w:rPr>
          <w:rFonts w:hint="eastAsia"/>
          <w:lang w:val="en-US" w:eastAsia="zh-CN"/>
        </w:rPr>
        <w:t xml:space="preserve"> 2026年度人员培训预算汇总表</w:t>
      </w:r>
      <w:bookmarkEnd w:id="19"/>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39"/>
        <w:gridCol w:w="2321"/>
        <w:gridCol w:w="4662"/>
      </w:tblGrid>
      <w:tr w14:paraId="45903C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tblHeader/>
          <w:jc w:val="center"/>
        </w:trPr>
        <w:tc>
          <w:tcPr>
            <w:tcW w:w="153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8479CBF">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部门</w:t>
            </w:r>
          </w:p>
        </w:tc>
        <w:tc>
          <w:tcPr>
            <w:tcW w:w="232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C42B5B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预算金额（元）</w:t>
            </w:r>
          </w:p>
        </w:tc>
        <w:tc>
          <w:tcPr>
            <w:tcW w:w="4663"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DF716F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说明</w:t>
            </w:r>
          </w:p>
        </w:tc>
      </w:tr>
      <w:tr w14:paraId="4EE38B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3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706A20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232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67E6E7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11600</w:t>
            </w:r>
          </w:p>
        </w:tc>
        <w:tc>
          <w:tcPr>
            <w:tcW w:w="466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6236B1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内训+外训</w:t>
            </w:r>
          </w:p>
        </w:tc>
      </w:tr>
      <w:tr w14:paraId="24C9CC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3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35D031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232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BD4D6A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5100</w:t>
            </w:r>
          </w:p>
        </w:tc>
        <w:tc>
          <w:tcPr>
            <w:tcW w:w="466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2311F8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技术培训</w:t>
            </w:r>
          </w:p>
        </w:tc>
      </w:tr>
      <w:tr w14:paraId="734151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3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22BD7C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w:t>
            </w:r>
          </w:p>
        </w:tc>
        <w:tc>
          <w:tcPr>
            <w:tcW w:w="232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85F96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3000</w:t>
            </w:r>
          </w:p>
        </w:tc>
        <w:tc>
          <w:tcPr>
            <w:tcW w:w="466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E13C21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质量管理培训+数据管理培训+技能评定</w:t>
            </w:r>
          </w:p>
        </w:tc>
      </w:tr>
      <w:tr w14:paraId="4B8BCA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3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D8318D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c>
          <w:tcPr>
            <w:tcW w:w="232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42B1EA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2400</w:t>
            </w:r>
          </w:p>
        </w:tc>
        <w:tc>
          <w:tcPr>
            <w:tcW w:w="466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5F3C73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新员工入职培训、备件管理培训</w:t>
            </w:r>
          </w:p>
        </w:tc>
      </w:tr>
      <w:tr w14:paraId="6BDD6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3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37FE90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总计</w:t>
            </w:r>
          </w:p>
        </w:tc>
        <w:tc>
          <w:tcPr>
            <w:tcW w:w="232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BCECBD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22100</w:t>
            </w:r>
          </w:p>
        </w:tc>
        <w:tc>
          <w:tcPr>
            <w:tcW w:w="4663" w:type="dxa"/>
            <w:tcBorders>
              <w:top w:val="single" w:color="auto" w:sz="4" w:space="0"/>
              <w:left w:val="single" w:color="auto" w:sz="4" w:space="0"/>
              <w:bottom w:val="single" w:color="auto" w:sz="12" w:space="0"/>
              <w:right w:val="single" w:color="auto" w:sz="12" w:space="0"/>
            </w:tcBorders>
            <w:shd w:val="clear" w:color="auto" w:fill="auto"/>
            <w:tcMar>
              <w:top w:w="-1" w:type="dxa"/>
              <w:left w:w="-1" w:type="dxa"/>
              <w:bottom w:w="-1" w:type="dxa"/>
              <w:right w:w="-1" w:type="dxa"/>
            </w:tcMar>
            <w:vAlign w:val="center"/>
          </w:tcPr>
          <w:p w14:paraId="0AE2A23F">
            <w:pPr>
              <w:snapToGrid w:val="0"/>
              <w:ind w:left="0" w:leftChars="0" w:right="0" w:rightChars="0" w:firstLine="0" w:firstLineChars="0"/>
              <w:jc w:val="right"/>
              <w:rPr>
                <w:rFonts w:hint="eastAsia" w:ascii="Segoe UI" w:hAnsi="Segoe UI" w:eastAsia="Segoe UI" w:cs="Segoe UI"/>
                <w:b/>
                <w:i w:val="0"/>
                <w:iCs w:val="0"/>
                <w:caps w:val="0"/>
                <w:color w:val="0F1115"/>
                <w:spacing w:val="0"/>
                <w:sz w:val="24"/>
                <w:szCs w:val="24"/>
              </w:rPr>
            </w:pPr>
          </w:p>
        </w:tc>
      </w:tr>
    </w:tbl>
    <w:p w14:paraId="7234FCDE">
      <w:pPr>
        <w:pStyle w:val="32"/>
        <w:keepNext w:val="0"/>
        <w:keepLines w:val="0"/>
        <w:pageBreakBefore w:val="0"/>
        <w:widowControl w:val="0"/>
        <w:kinsoku w:val="0"/>
        <w:wordWrap/>
        <w:overflowPunct/>
        <w:topLinePunct w:val="0"/>
        <w:autoSpaceDE w:val="0"/>
        <w:autoSpaceDN w:val="0"/>
        <w:bidi w:val="0"/>
        <w:adjustRightInd w:val="0"/>
        <w:snapToGrid w:val="0"/>
        <w:jc w:val="left"/>
        <w:textAlignment w:val="baseline"/>
        <w:rPr>
          <w:rFonts w:hint="eastAsia"/>
          <w:lang w:val="en-US" w:eastAsia="zh-CN"/>
        </w:rPr>
      </w:pPr>
      <w:r>
        <w:rPr>
          <w:rFonts w:hint="eastAsia"/>
          <w:lang w:val="en-US" w:eastAsia="zh-CN"/>
        </w:rPr>
        <w:t>KPI指标：人员培训计划达成率 ≥90%（季度）</w:t>
      </w:r>
    </w:p>
    <w:p w14:paraId="7B598E48">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30225"/>
      <w:r>
        <w:rPr>
          <w:rFonts w:hint="eastAsia"/>
          <w:lang w:val="en-US" w:eastAsia="zh-CN"/>
        </w:rPr>
        <w:t>人员备份计划</w:t>
      </w:r>
      <w:bookmarkEnd w:id="20"/>
    </w:p>
    <w:p w14:paraId="16C145DC">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Style w:val="44"/>
          <w:rFonts w:hint="eastAsia"/>
        </w:rPr>
      </w:pPr>
      <w:r>
        <w:rPr>
          <w:rStyle w:val="44"/>
          <w:rFonts w:hint="eastAsia"/>
        </w:rPr>
        <w:t>针对2025年问题的改进措施：备份计划完成时间更加集中在上半年（6月前全部完成），比2025年（10月完成）更加紧凑，确保备份机制尽早建立并运行。</w:t>
      </w:r>
    </w:p>
    <w:p w14:paraId="6B2B169E">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21" w:name="_Toc7435"/>
      <w:r>
        <w:rPr>
          <w:rFonts w:hint="eastAsia"/>
          <w:lang w:val="en-US" w:eastAsia="zh-CN"/>
        </w:rPr>
        <w:t xml:space="preserve"> 2026年度人员关键岗位备份计划表</w:t>
      </w:r>
      <w:bookmarkEnd w:id="21"/>
    </w:p>
    <w:p w14:paraId="00F37CE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7"/>
        <w:gridCol w:w="2031"/>
        <w:gridCol w:w="1808"/>
        <w:gridCol w:w="1501"/>
        <w:gridCol w:w="1815"/>
      </w:tblGrid>
      <w:tr w14:paraId="328B4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67"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BEB433C">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部门</w:t>
            </w:r>
          </w:p>
        </w:tc>
        <w:tc>
          <w:tcPr>
            <w:tcW w:w="203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837DC6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A岗位</w:t>
            </w:r>
          </w:p>
        </w:tc>
        <w:tc>
          <w:tcPr>
            <w:tcW w:w="180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0E325C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B岗</w:t>
            </w:r>
          </w:p>
        </w:tc>
        <w:tc>
          <w:tcPr>
            <w:tcW w:w="150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39225C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备份要求</w:t>
            </w:r>
          </w:p>
        </w:tc>
        <w:tc>
          <w:tcPr>
            <w:tcW w:w="1815"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7BFEA7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计划完成时间</w:t>
            </w:r>
          </w:p>
        </w:tc>
      </w:tr>
      <w:tr w14:paraId="04A566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F19B90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203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8CFD2A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w:t>
            </w:r>
          </w:p>
        </w:tc>
        <w:tc>
          <w:tcPr>
            <w:tcW w:w="180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76A5CD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运维项目经理</w:t>
            </w:r>
          </w:p>
        </w:tc>
        <w:tc>
          <w:tcPr>
            <w:tcW w:w="150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D08A41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5"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63D21A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2026年3月</w:t>
            </w:r>
          </w:p>
        </w:tc>
      </w:tr>
      <w:tr w14:paraId="5F68C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AEF758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203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865525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研发部经理</w:t>
            </w:r>
          </w:p>
        </w:tc>
        <w:tc>
          <w:tcPr>
            <w:tcW w:w="180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067045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研发工程师</w:t>
            </w:r>
          </w:p>
        </w:tc>
        <w:tc>
          <w:tcPr>
            <w:tcW w:w="150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913DC2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5"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FE7BA4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2026年4月</w:t>
            </w:r>
          </w:p>
        </w:tc>
      </w:tr>
      <w:tr w14:paraId="1F09D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2679E9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w:t>
            </w:r>
          </w:p>
        </w:tc>
        <w:tc>
          <w:tcPr>
            <w:tcW w:w="203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0478D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产品质量部经理</w:t>
            </w:r>
          </w:p>
        </w:tc>
        <w:tc>
          <w:tcPr>
            <w:tcW w:w="180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AC3AFB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产品质量部专员</w:t>
            </w:r>
          </w:p>
        </w:tc>
        <w:tc>
          <w:tcPr>
            <w:tcW w:w="150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D6431C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5"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784A29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2026年5月</w:t>
            </w:r>
          </w:p>
        </w:tc>
      </w:tr>
      <w:tr w14:paraId="0D39F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315BB09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c>
          <w:tcPr>
            <w:tcW w:w="203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BA6A9D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综合部经理</w:t>
            </w:r>
          </w:p>
        </w:tc>
        <w:tc>
          <w:tcPr>
            <w:tcW w:w="180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DFF8DB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人事专员</w:t>
            </w:r>
          </w:p>
        </w:tc>
        <w:tc>
          <w:tcPr>
            <w:tcW w:w="150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034053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5"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B45007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2026年6月</w:t>
            </w:r>
          </w:p>
        </w:tc>
      </w:tr>
    </w:tbl>
    <w:p w14:paraId="24CE2B7D">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p>
    <w:p w14:paraId="2D0AE10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KPI指标：备份人员能力达标率 ≥90%（季度）</w:t>
      </w:r>
    </w:p>
    <w:p w14:paraId="5BEA8FC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10148"/>
      <w:r>
        <w:rPr>
          <w:rFonts w:hint="eastAsia"/>
          <w:lang w:val="en-US" w:eastAsia="zh-CN"/>
        </w:rPr>
        <w:t>人员绩效考核计划</w:t>
      </w:r>
      <w:bookmarkEnd w:id="22"/>
    </w:p>
    <w:p w14:paraId="5C9DDE5A">
      <w:pPr>
        <w:rPr>
          <w:rFonts w:hint="eastAsia"/>
          <w:lang w:val="en-US" w:eastAsia="zh-CN"/>
        </w:rPr>
      </w:pPr>
      <w:r>
        <w:rPr>
          <w:rFonts w:hint="eastAsia"/>
          <w:lang w:val="en-US" w:eastAsia="zh-CN"/>
        </w:rPr>
        <w:br w:type="page"/>
      </w:r>
    </w:p>
    <w:p w14:paraId="6696A954">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23" w:name="_Toc18655"/>
      <w:r>
        <w:rPr>
          <w:rFonts w:hint="eastAsia"/>
          <w:lang w:val="en-US" w:eastAsia="zh-CN"/>
        </w:rPr>
        <w:t xml:space="preserve"> 2026年度人员绩效考核计划表</w:t>
      </w:r>
      <w:bookmarkEnd w:id="23"/>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3"/>
        <w:gridCol w:w="1952"/>
        <w:gridCol w:w="1679"/>
        <w:gridCol w:w="1827"/>
        <w:gridCol w:w="1681"/>
      </w:tblGrid>
      <w:tr w14:paraId="65A8A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383"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380C2F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考核类型</w:t>
            </w:r>
          </w:p>
        </w:tc>
        <w:tc>
          <w:tcPr>
            <w:tcW w:w="195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6D62E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考核周期</w:t>
            </w:r>
          </w:p>
        </w:tc>
        <w:tc>
          <w:tcPr>
            <w:tcW w:w="167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A1744D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考核对象</w:t>
            </w:r>
          </w:p>
        </w:tc>
        <w:tc>
          <w:tcPr>
            <w:tcW w:w="182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14BC1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考核时间</w:t>
            </w:r>
          </w:p>
        </w:tc>
        <w:tc>
          <w:tcPr>
            <w:tcW w:w="168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11E843B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7AF16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E85F1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月度考核</w:t>
            </w:r>
          </w:p>
        </w:tc>
        <w:tc>
          <w:tcPr>
            <w:tcW w:w="195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7BE9D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每月一次</w:t>
            </w:r>
          </w:p>
        </w:tc>
        <w:tc>
          <w:tcPr>
            <w:tcW w:w="16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D02583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6B17CA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每月5日前</w:t>
            </w:r>
          </w:p>
        </w:tc>
        <w:tc>
          <w:tcPr>
            <w:tcW w:w="16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68A34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r w14:paraId="07C21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26642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季度考核</w:t>
            </w:r>
          </w:p>
        </w:tc>
        <w:tc>
          <w:tcPr>
            <w:tcW w:w="195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FD19C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每季度一次</w:t>
            </w:r>
          </w:p>
        </w:tc>
        <w:tc>
          <w:tcPr>
            <w:tcW w:w="16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AEB87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5D5F2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每季度末</w:t>
            </w:r>
          </w:p>
        </w:tc>
        <w:tc>
          <w:tcPr>
            <w:tcW w:w="16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186D3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r w14:paraId="208A4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4B977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年度考核</w:t>
            </w:r>
          </w:p>
        </w:tc>
        <w:tc>
          <w:tcPr>
            <w:tcW w:w="195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63713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每年一次</w:t>
            </w:r>
          </w:p>
        </w:tc>
        <w:tc>
          <w:tcPr>
            <w:tcW w:w="167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FB03F0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1FCEE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12月</w:t>
            </w:r>
          </w:p>
        </w:tc>
        <w:tc>
          <w:tcPr>
            <w:tcW w:w="168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4875E9F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bl>
    <w:p w14:paraId="5302D8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KPI指标：绩效考核及时完成率 100%（月度）</w:t>
      </w:r>
    </w:p>
    <w:p w14:paraId="663C9E7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4" w:name="_Toc21117"/>
      <w:r>
        <w:rPr>
          <w:rFonts w:hint="eastAsia"/>
          <w:lang w:val="en-US" w:eastAsia="zh-CN"/>
        </w:rPr>
        <w:t>人员技能评定计划</w:t>
      </w:r>
      <w:bookmarkEnd w:id="24"/>
    </w:p>
    <w:p w14:paraId="3C4722B0">
      <w:pPr>
        <w:pStyle w:val="32"/>
        <w:bidi w:val="0"/>
      </w:pPr>
      <w:r>
        <w:t>2026年度目标</w:t>
      </w:r>
      <w:r>
        <w:rPr>
          <w:rFonts w:hint="default"/>
        </w:rPr>
        <w:t>：高等级人员（A+B级）占比从75%提升至80%</w:t>
      </w:r>
    </w:p>
    <w:p w14:paraId="2C08531C">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25" w:name="_Toc4944"/>
      <w:r>
        <w:rPr>
          <w:rFonts w:hint="eastAsia"/>
          <w:lang w:val="en-US" w:eastAsia="zh-CN"/>
        </w:rPr>
        <w:t xml:space="preserve"> 2026年度人员技能评定周期表</w:t>
      </w:r>
      <w:bookmarkEnd w:id="25"/>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6"/>
        <w:gridCol w:w="1590"/>
        <w:gridCol w:w="1813"/>
        <w:gridCol w:w="1949"/>
        <w:gridCol w:w="1374"/>
      </w:tblGrid>
      <w:tr w14:paraId="4AEAD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79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2FEA7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评定类型</w:t>
            </w:r>
          </w:p>
        </w:tc>
        <w:tc>
          <w:tcPr>
            <w:tcW w:w="159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DF66C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评定周期</w:t>
            </w:r>
          </w:p>
        </w:tc>
        <w:tc>
          <w:tcPr>
            <w:tcW w:w="1813"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BD736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评定对象</w:t>
            </w:r>
          </w:p>
        </w:tc>
        <w:tc>
          <w:tcPr>
            <w:tcW w:w="194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88668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评定时间</w:t>
            </w:r>
          </w:p>
        </w:tc>
        <w:tc>
          <w:tcPr>
            <w:tcW w:w="1373"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32BB38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7AF0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00071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半年度技能评定</w:t>
            </w:r>
          </w:p>
        </w:tc>
        <w:tc>
          <w:tcPr>
            <w:tcW w:w="159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0CB28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每半年一次</w:t>
            </w:r>
          </w:p>
        </w:tc>
        <w:tc>
          <w:tcPr>
            <w:tcW w:w="181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30B4A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94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9D070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每年6月、12月</w:t>
            </w:r>
          </w:p>
        </w:tc>
        <w:tc>
          <w:tcPr>
            <w:tcW w:w="137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FB9D6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综合部</w:t>
            </w:r>
          </w:p>
        </w:tc>
      </w:tr>
      <w:tr w14:paraId="65228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7C21E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入职技能评定</w:t>
            </w:r>
          </w:p>
        </w:tc>
        <w:tc>
          <w:tcPr>
            <w:tcW w:w="159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BB8077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入职时</w:t>
            </w:r>
          </w:p>
        </w:tc>
        <w:tc>
          <w:tcPr>
            <w:tcW w:w="181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3D7F7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w:t>
            </w:r>
          </w:p>
        </w:tc>
        <w:tc>
          <w:tcPr>
            <w:tcW w:w="194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4839C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试用期内</w:t>
            </w:r>
          </w:p>
        </w:tc>
        <w:tc>
          <w:tcPr>
            <w:tcW w:w="137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6917CE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09EE0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9F390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晋升技能评定</w:t>
            </w:r>
          </w:p>
        </w:tc>
        <w:tc>
          <w:tcPr>
            <w:tcW w:w="159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6E9A5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晋升前</w:t>
            </w:r>
          </w:p>
        </w:tc>
        <w:tc>
          <w:tcPr>
            <w:tcW w:w="1813"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595BA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申请晋升人员</w:t>
            </w:r>
          </w:p>
        </w:tc>
        <w:tc>
          <w:tcPr>
            <w:tcW w:w="194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9A5AC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晋升评审前</w:t>
            </w:r>
          </w:p>
        </w:tc>
        <w:tc>
          <w:tcPr>
            <w:tcW w:w="1373"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3E1AFE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综合部</w:t>
            </w:r>
          </w:p>
        </w:tc>
      </w:tr>
    </w:tbl>
    <w:p w14:paraId="25D9A0AA">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26" w:name="_Toc24451"/>
      <w:r>
        <w:rPr>
          <w:rFonts w:hint="eastAsia"/>
          <w:lang w:val="en-US" w:eastAsia="zh-CN"/>
        </w:rPr>
        <w:t xml:space="preserve"> 2026年度人员技能等级划分表</w:t>
      </w:r>
      <w:bookmarkEnd w:id="2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8"/>
        <w:gridCol w:w="1330"/>
        <w:gridCol w:w="5674"/>
      </w:tblGrid>
      <w:tr w14:paraId="3F348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18"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4EE7FF3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技能等级</w:t>
            </w:r>
          </w:p>
        </w:tc>
        <w:tc>
          <w:tcPr>
            <w:tcW w:w="133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DC8DBD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评估分数</w:t>
            </w:r>
          </w:p>
        </w:tc>
        <w:tc>
          <w:tcPr>
            <w:tcW w:w="567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35168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定义</w:t>
            </w:r>
          </w:p>
        </w:tc>
      </w:tr>
      <w:tr w14:paraId="1932F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BAAEE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A级（专家）</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FD5B3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90-100分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DBB35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能够引领技术方向，技术创新；技能优秀，可担任导师或备份人员</w:t>
            </w:r>
          </w:p>
        </w:tc>
      </w:tr>
      <w:tr w14:paraId="20A448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73E16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B级（高级）</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561EB1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80-89分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AE53AB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能够解决疑难问题，指导他人；技能良好，可独立承担岗位工作</w:t>
            </w:r>
          </w:p>
        </w:tc>
      </w:tr>
      <w:tr w14:paraId="352D4B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E92A3A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C级（中级）</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B7958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60-79分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C5A93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能够独立处理复杂问题；技能合格，需持续提升</w:t>
            </w:r>
          </w:p>
        </w:tc>
      </w:tr>
      <w:tr w14:paraId="25DCB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6F305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D级（初级）</w:t>
            </w:r>
          </w:p>
        </w:tc>
        <w:tc>
          <w:tcPr>
            <w:tcW w:w="133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61D46B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60分以下</w:t>
            </w:r>
          </w:p>
        </w:tc>
        <w:tc>
          <w:tcPr>
            <w:tcW w:w="567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1F7B82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能够独立完成基础运维工作；技能不足，需参加专项培训</w:t>
            </w:r>
          </w:p>
        </w:tc>
      </w:tr>
    </w:tbl>
    <w:p w14:paraId="090EB65C">
      <w:pPr>
        <w:rPr>
          <w:rFonts w:hint="eastAsia"/>
          <w:lang w:val="en-US" w:eastAsia="zh-CN"/>
        </w:rPr>
      </w:pPr>
      <w:r>
        <w:rPr>
          <w:rFonts w:hint="eastAsia"/>
          <w:lang w:val="en-US" w:eastAsia="zh-CN"/>
        </w:rPr>
        <w:br w:type="page"/>
      </w:r>
    </w:p>
    <w:p w14:paraId="77DAF9E1">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27" w:name="_Toc4130"/>
      <w:r>
        <w:rPr>
          <w:rFonts w:hint="eastAsia"/>
          <w:lang w:val="en-US" w:eastAsia="zh-CN"/>
        </w:rPr>
        <w:t xml:space="preserve"> 2026年度人员技能评定内容表</w:t>
      </w:r>
      <w:bookmarkEnd w:id="27"/>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19"/>
        <w:gridCol w:w="999"/>
        <w:gridCol w:w="3641"/>
        <w:gridCol w:w="2663"/>
      </w:tblGrid>
      <w:tr w14:paraId="491379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21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0E8CFB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评定维度</w:t>
            </w:r>
          </w:p>
        </w:tc>
        <w:tc>
          <w:tcPr>
            <w:tcW w:w="99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F7CD4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权重</w:t>
            </w:r>
          </w:p>
        </w:tc>
        <w:tc>
          <w:tcPr>
            <w:tcW w:w="364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A400B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评定内容</w:t>
            </w:r>
          </w:p>
        </w:tc>
        <w:tc>
          <w:tcPr>
            <w:tcW w:w="2662"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879F1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评定方式</w:t>
            </w:r>
          </w:p>
        </w:tc>
      </w:tr>
      <w:tr w14:paraId="130B9B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63727D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专业知识</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194DE1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162D1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岗位相关技术理论知识</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4F1EB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笔试、面试</w:t>
            </w:r>
          </w:p>
        </w:tc>
      </w:tr>
      <w:tr w14:paraId="6859C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49C29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操作技能</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E11012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75A67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实际操作能力、故障处理能力</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4A3F0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实操考核、案例演练</w:t>
            </w:r>
          </w:p>
        </w:tc>
      </w:tr>
      <w:tr w14:paraId="509F9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A46AA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问题解决</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5CD7E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98DFB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复杂问题分析、解决能力</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417B03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案例答辩、工作成果</w:t>
            </w:r>
          </w:p>
        </w:tc>
      </w:tr>
      <w:tr w14:paraId="7C99F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054B39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知识贡献</w:t>
            </w:r>
          </w:p>
        </w:tc>
        <w:tc>
          <w:tcPr>
            <w:tcW w:w="99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F5DA20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w:t>
            </w:r>
          </w:p>
        </w:tc>
        <w:tc>
          <w:tcPr>
            <w:tcW w:w="364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15F9D6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知识库贡献、培训授课</w:t>
            </w:r>
          </w:p>
        </w:tc>
        <w:tc>
          <w:tcPr>
            <w:tcW w:w="2662"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F60F6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知识库记录、培训记录</w:t>
            </w:r>
          </w:p>
        </w:tc>
      </w:tr>
    </w:tbl>
    <w:p w14:paraId="447EAEA6">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28" w:name="_Toc21879"/>
      <w:r>
        <w:rPr>
          <w:rFonts w:hint="eastAsia"/>
          <w:lang w:val="en-US" w:eastAsia="zh-CN"/>
        </w:rPr>
        <w:t xml:space="preserve"> 2026年度人员技能评定结果应用表</w:t>
      </w:r>
      <w:bookmarkEnd w:id="2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1"/>
        <w:gridCol w:w="6241"/>
      </w:tblGrid>
      <w:tr w14:paraId="3071E3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28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47998B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应用方向</w:t>
            </w:r>
          </w:p>
        </w:tc>
        <w:tc>
          <w:tcPr>
            <w:tcW w:w="624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A411D3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具体方式</w:t>
            </w:r>
          </w:p>
        </w:tc>
      </w:tr>
      <w:tr w14:paraId="179551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A3E936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岗位任职资格</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03B62D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A/B级可担任关键岗位，C/D级需持续提升</w:t>
            </w:r>
          </w:p>
        </w:tc>
      </w:tr>
      <w:tr w14:paraId="2A06C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631F92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绩效奖金调节</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E04E52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技能等级与绩效奖金系数挂钩</w:t>
            </w:r>
          </w:p>
        </w:tc>
      </w:tr>
      <w:tr w14:paraId="74B7A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CD04B3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培训需求识别</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8B53F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D级人员需参加专项培训</w:t>
            </w:r>
          </w:p>
        </w:tc>
      </w:tr>
      <w:tr w14:paraId="5FFE1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8A01FA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备份人员选拔</w:t>
            </w:r>
          </w:p>
        </w:tc>
        <w:tc>
          <w:tcPr>
            <w:tcW w:w="624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7A682EE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A/B级人员优先作为关键岗位备份</w:t>
            </w:r>
          </w:p>
        </w:tc>
      </w:tr>
    </w:tbl>
    <w:p w14:paraId="2D71488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Segoe UI" w:hAnsi="Segoe UI" w:eastAsia="Segoe UI" w:cs="Segoe UI"/>
          <w:i w:val="0"/>
          <w:iCs w:val="0"/>
          <w:caps w:val="0"/>
          <w:color w:val="0F1115"/>
          <w:spacing w:val="0"/>
          <w:sz w:val="24"/>
          <w:szCs w:val="24"/>
          <w:shd w:val="clear" w:color="auto" w:fill="FFFFFF"/>
          <w:lang w:val="en-US" w:eastAsia="zh-CN"/>
        </w:rPr>
      </w:pPr>
      <w:r>
        <w:rPr>
          <w:rFonts w:hint="default" w:ascii="Segoe UI" w:hAnsi="Segoe UI" w:eastAsia="Segoe UI" w:cs="Segoe UI"/>
          <w:i w:val="0"/>
          <w:iCs w:val="0"/>
          <w:caps w:val="0"/>
          <w:color w:val="0F1115"/>
          <w:spacing w:val="0"/>
          <w:sz w:val="24"/>
          <w:szCs w:val="24"/>
          <w:shd w:val="clear" w:color="auto" w:fill="FFFFFF"/>
          <w:lang w:val="en-US" w:eastAsia="zh-CN"/>
        </w:rPr>
        <w:t>KPI指标：技能评价覆盖率 100%（半年度）</w:t>
      </w:r>
    </w:p>
    <w:p w14:paraId="1B419F1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24039"/>
      <w:r>
        <w:rPr>
          <w:rFonts w:hint="eastAsia"/>
          <w:lang w:val="en-US" w:eastAsia="zh-CN"/>
        </w:rPr>
        <w:t>资源管理规划</w:t>
      </w:r>
      <w:bookmarkEnd w:id="29"/>
    </w:p>
    <w:p w14:paraId="651443F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30644"/>
      <w:r>
        <w:rPr>
          <w:rFonts w:hint="default"/>
          <w:lang w:val="en-US" w:eastAsia="zh-CN"/>
        </w:rPr>
        <w:t>运维工具管理</w:t>
      </w:r>
      <w:bookmarkEnd w:id="30"/>
    </w:p>
    <w:p w14:paraId="2A635B1E">
      <w:pPr>
        <w:pStyle w:val="32"/>
        <w:rPr>
          <w:rFonts w:hint="default"/>
          <w:lang w:val="en-US" w:eastAsia="zh-CN"/>
        </w:rPr>
      </w:pPr>
      <w:r>
        <w:rPr>
          <w:rFonts w:hint="default"/>
          <w:lang w:val="en-US" w:eastAsia="zh-CN"/>
        </w:rPr>
        <w:t>根据《运维服务工具管理制度》，公司目前使用的运维工具主要包括iTop运维管理平台和图云科技运维监控平台。</w:t>
      </w:r>
    </w:p>
    <w:p w14:paraId="71339283">
      <w:pPr>
        <w:pStyle w:val="32"/>
        <w:rPr>
          <w:rFonts w:hint="default"/>
          <w:lang w:val="en-US" w:eastAsia="zh-CN"/>
        </w:rPr>
      </w:pPr>
      <w:r>
        <w:rPr>
          <w:rFonts w:hint="default"/>
          <w:lang w:val="en-US" w:eastAsia="zh-CN"/>
        </w:rPr>
        <w:t>2026年运维工具管理的主要工作：</w:t>
      </w:r>
    </w:p>
    <w:p w14:paraId="4B30E443">
      <w:pPr>
        <w:pStyle w:val="32"/>
        <w:numPr>
          <w:ilvl w:val="0"/>
          <w:numId w:val="6"/>
        </w:numPr>
        <w:ind w:left="425" w:leftChars="0" w:hanging="425" w:firstLineChars="0"/>
        <w:rPr>
          <w:rFonts w:hint="default"/>
          <w:lang w:val="en-US" w:eastAsia="zh-CN"/>
        </w:rPr>
      </w:pPr>
      <w:r>
        <w:rPr>
          <w:rFonts w:hint="default"/>
          <w:lang w:val="en-US" w:eastAsia="zh-CN"/>
        </w:rPr>
        <w:t>研发部负责根据运维业务需求，持续优化监控平台功能，2026年重点完成自动化巡检工具和数据完整性校验工具的研发</w:t>
      </w:r>
    </w:p>
    <w:p w14:paraId="77856B87">
      <w:pPr>
        <w:pStyle w:val="32"/>
        <w:numPr>
          <w:ilvl w:val="0"/>
          <w:numId w:val="6"/>
        </w:numPr>
        <w:ind w:left="425" w:leftChars="0" w:hanging="425" w:firstLineChars="0"/>
        <w:rPr>
          <w:rFonts w:hint="default"/>
          <w:lang w:val="en-US" w:eastAsia="zh-CN"/>
        </w:rPr>
      </w:pPr>
      <w:r>
        <w:rPr>
          <w:rFonts w:hint="default"/>
          <w:lang w:val="en-US" w:eastAsia="zh-CN"/>
        </w:rPr>
        <w:t>运维部经理每年度组织一次运维工具使用效果评估，形成《运维工具自评估报告》，从工具覆盖度、使用效率、用户满意度等方面进行评估</w:t>
      </w:r>
    </w:p>
    <w:p w14:paraId="3C7FAE4C">
      <w:pPr>
        <w:pStyle w:val="32"/>
        <w:numPr>
          <w:ilvl w:val="0"/>
          <w:numId w:val="6"/>
        </w:numPr>
        <w:ind w:left="425" w:leftChars="0" w:hanging="425" w:firstLineChars="0"/>
        <w:rPr>
          <w:rFonts w:hint="default"/>
          <w:lang w:val="en-US" w:eastAsia="zh-CN"/>
        </w:rPr>
      </w:pPr>
      <w:r>
        <w:rPr>
          <w:rFonts w:hint="default"/>
          <w:lang w:val="en-US" w:eastAsia="zh-CN"/>
        </w:rPr>
        <w:t>研发部负责编制和维护运维工具操作手册，确保操作人员熟练掌握工具使用方法</w:t>
      </w:r>
    </w:p>
    <w:p w14:paraId="4ABF89AB">
      <w:pPr>
        <w:pStyle w:val="32"/>
        <w:numPr>
          <w:ilvl w:val="0"/>
          <w:numId w:val="6"/>
        </w:numPr>
        <w:ind w:left="425" w:leftChars="0" w:hanging="425" w:firstLineChars="0"/>
        <w:rPr>
          <w:rFonts w:hint="default"/>
          <w:lang w:val="en-US" w:eastAsia="zh-CN"/>
        </w:rPr>
      </w:pPr>
      <w:r>
        <w:rPr>
          <w:rFonts w:hint="default"/>
          <w:lang w:val="en-US" w:eastAsia="zh-CN"/>
        </w:rPr>
        <w:t>通过工具使用数据的统计分析，评估工具对运维效率的实际提升效果</w:t>
      </w:r>
    </w:p>
    <w:p w14:paraId="158D0C80">
      <w:pPr>
        <w:pStyle w:val="32"/>
        <w:rPr>
          <w:rFonts w:hint="default"/>
          <w:lang w:val="en-US" w:eastAsia="zh-CN"/>
        </w:rPr>
      </w:pPr>
      <w:r>
        <w:rPr>
          <w:rFonts w:hint="default"/>
          <w:lang w:val="en-US" w:eastAsia="zh-CN"/>
        </w:rPr>
        <w:t>KPI指标：运维工具评审次数 ≥1次（年度）</w:t>
      </w:r>
    </w:p>
    <w:p w14:paraId="42E45FC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5728"/>
      <w:r>
        <w:rPr>
          <w:rFonts w:hint="default"/>
          <w:lang w:val="en-US" w:eastAsia="zh-CN"/>
        </w:rPr>
        <w:t>服务知识管理</w:t>
      </w:r>
      <w:bookmarkEnd w:id="31"/>
    </w:p>
    <w:p w14:paraId="23A47E2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根据《运维服务服务知识管理制度》，公司服务知识由运维部主导管理，负责知识入库审批、知识质量监督与权限管理。</w:t>
      </w:r>
    </w:p>
    <w:p w14:paraId="4921874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2026年服务知识管理的主要工作：</w:t>
      </w:r>
    </w:p>
    <w:p w14:paraId="31F74CFF">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建立知识的全生命周期管理机制，严格执行知识提交、审批、发布、更新、删除的标准化流程</w:t>
      </w:r>
    </w:p>
    <w:p w14:paraId="4D69D43C">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将事件处理、问题分析中的典型解决方案录入服务知识库，形成“事件→问题→知识”的闭环管理</w:t>
      </w:r>
    </w:p>
    <w:p w14:paraId="37A3C9DC">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按照服务知识管理制度的激励措施，对积极贡献知识的员工给予积分奖励和年度评优倾斜</w:t>
      </w:r>
    </w:p>
    <w:p w14:paraId="24DD9A98">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每年度组织一次服务知识使用培训，提高运维人员对知识库的使用熟练度</w:t>
      </w:r>
    </w:p>
    <w:p w14:paraId="65C7764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5A0CF1B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新增知识条目：≥5条（月度）</w:t>
      </w:r>
    </w:p>
    <w:p w14:paraId="79418D1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服务知识使用率：</w:t>
      </w:r>
      <w:r>
        <w:rPr>
          <w:rFonts w:hint="eastAsia"/>
          <w:lang w:val="en-US" w:eastAsia="zh-CN"/>
        </w:rPr>
        <w:t>80</w:t>
      </w:r>
      <w:r>
        <w:rPr>
          <w:rFonts w:hint="default"/>
          <w:lang w:val="en-US" w:eastAsia="zh-CN"/>
        </w:rPr>
        <w:t>%（季度）</w:t>
      </w:r>
    </w:p>
    <w:p w14:paraId="4FE1D64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知识采纳率：≥</w:t>
      </w:r>
      <w:r>
        <w:rPr>
          <w:rFonts w:hint="eastAsia"/>
          <w:lang w:val="en-US" w:eastAsia="zh-CN"/>
        </w:rPr>
        <w:t>70</w:t>
      </w:r>
      <w:r>
        <w:rPr>
          <w:rFonts w:hint="default"/>
          <w:lang w:val="en-US" w:eastAsia="zh-CN"/>
        </w:rPr>
        <w:t>%（季度）</w:t>
      </w:r>
    </w:p>
    <w:p w14:paraId="50F8069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21911"/>
      <w:r>
        <w:rPr>
          <w:rFonts w:hint="default"/>
          <w:lang w:val="en-US" w:eastAsia="zh-CN"/>
        </w:rPr>
        <w:t>服务台管理</w:t>
      </w:r>
      <w:bookmarkEnd w:id="32"/>
    </w:p>
    <w:p w14:paraId="65AA1DD6">
      <w:pPr>
        <w:pStyle w:val="32"/>
        <w:rPr>
          <w:rFonts w:hint="default"/>
          <w:lang w:val="en-US" w:eastAsia="zh-CN"/>
        </w:rPr>
      </w:pPr>
      <w:r>
        <w:rPr>
          <w:rFonts w:hint="default"/>
          <w:lang w:val="en-US" w:eastAsia="zh-CN"/>
        </w:rPr>
        <w:t>根据《运维服务服务台管理制度》，服务台是公司运维服务的统一入口，设立统一服务热线，提供7×24小时不间断服务。</w:t>
      </w:r>
    </w:p>
    <w:p w14:paraId="28B271CC">
      <w:pPr>
        <w:pStyle w:val="32"/>
        <w:rPr>
          <w:rFonts w:hint="default"/>
          <w:lang w:val="en-US" w:eastAsia="zh-CN"/>
        </w:rPr>
      </w:pPr>
      <w:r>
        <w:rPr>
          <w:rFonts w:hint="default"/>
          <w:lang w:val="en-US" w:eastAsia="zh-CN"/>
        </w:rPr>
        <w:t>2026年服务台管理的主要工作：</w:t>
      </w:r>
    </w:p>
    <w:p w14:paraId="6AA6BE79">
      <w:pPr>
        <w:pStyle w:val="32"/>
        <w:numPr>
          <w:ilvl w:val="0"/>
          <w:numId w:val="8"/>
        </w:numPr>
        <w:ind w:left="425" w:leftChars="0" w:hanging="425" w:firstLineChars="0"/>
        <w:rPr>
          <w:rFonts w:hint="default"/>
          <w:lang w:val="en-US" w:eastAsia="zh-CN"/>
        </w:rPr>
      </w:pPr>
      <w:r>
        <w:rPr>
          <w:rFonts w:hint="default"/>
          <w:lang w:val="en-US" w:eastAsia="zh-CN"/>
        </w:rPr>
        <w:t>所有客户服务请求、故障报修、咨询投诉均通过服务台统一受理，确保服务过程可记录、可追溯</w:t>
      </w:r>
    </w:p>
    <w:p w14:paraId="4EB711EC">
      <w:pPr>
        <w:pStyle w:val="32"/>
        <w:numPr>
          <w:ilvl w:val="0"/>
          <w:numId w:val="8"/>
        </w:numPr>
        <w:ind w:left="425" w:leftChars="0" w:hanging="425" w:firstLineChars="0"/>
        <w:rPr>
          <w:rFonts w:hint="default"/>
          <w:lang w:val="en-US" w:eastAsia="zh-CN"/>
        </w:rPr>
      </w:pPr>
      <w:r>
        <w:rPr>
          <w:rFonts w:hint="default"/>
          <w:lang w:val="en-US" w:eastAsia="zh-CN"/>
        </w:rPr>
        <w:t>严格按照标准化流程执行，确保每个事件从受理到关闭的全过程闭环管理</w:t>
      </w:r>
    </w:p>
    <w:p w14:paraId="22C8F260">
      <w:pPr>
        <w:pStyle w:val="32"/>
        <w:numPr>
          <w:ilvl w:val="0"/>
          <w:numId w:val="8"/>
        </w:numPr>
        <w:ind w:left="425" w:leftChars="0" w:hanging="425" w:firstLineChars="0"/>
        <w:rPr>
          <w:rFonts w:hint="default"/>
          <w:lang w:val="en-US" w:eastAsia="zh-CN"/>
        </w:rPr>
      </w:pPr>
      <w:r>
        <w:rPr>
          <w:rFonts w:hint="default"/>
          <w:lang w:val="en-US" w:eastAsia="zh-CN"/>
        </w:rPr>
        <w:t>每年度组织服务台专项培训，提升服务台人员的沟通技巧和问题判断能力</w:t>
      </w:r>
    </w:p>
    <w:p w14:paraId="7BD27920">
      <w:pPr>
        <w:pStyle w:val="32"/>
        <w:numPr>
          <w:ilvl w:val="0"/>
          <w:numId w:val="8"/>
        </w:numPr>
        <w:ind w:left="425" w:leftChars="0" w:hanging="425" w:firstLineChars="0"/>
        <w:rPr>
          <w:rFonts w:hint="default"/>
          <w:lang w:val="en-US" w:eastAsia="zh-CN"/>
        </w:rPr>
      </w:pPr>
      <w:r>
        <w:rPr>
          <w:rFonts w:hint="default"/>
          <w:lang w:val="en-US" w:eastAsia="zh-CN"/>
        </w:rPr>
        <w:t>运维部经理定期填写《服务台服务质量考核表》，考核结果计入个人绩效</w:t>
      </w:r>
    </w:p>
    <w:p w14:paraId="78EC1D06">
      <w:pPr>
        <w:pStyle w:val="32"/>
        <w:numPr>
          <w:ilvl w:val="0"/>
          <w:numId w:val="8"/>
        </w:numPr>
        <w:ind w:left="425" w:leftChars="0" w:hanging="425" w:firstLineChars="0"/>
        <w:rPr>
          <w:rFonts w:hint="default"/>
          <w:lang w:val="en-US" w:eastAsia="zh-CN"/>
        </w:rPr>
      </w:pPr>
      <w:r>
        <w:rPr>
          <w:rFonts w:hint="default"/>
          <w:lang w:val="en-US" w:eastAsia="zh-CN"/>
        </w:rPr>
        <w:t>每月统计服务台请求关闭率、接通率、客户满意度等关键指标</w:t>
      </w:r>
    </w:p>
    <w:p w14:paraId="0B76C863">
      <w:pPr>
        <w:pStyle w:val="32"/>
        <w:rPr>
          <w:rFonts w:hint="default"/>
          <w:lang w:val="en-US" w:eastAsia="zh-CN"/>
        </w:rPr>
      </w:pPr>
      <w:r>
        <w:rPr>
          <w:rFonts w:hint="default"/>
          <w:lang w:val="en-US" w:eastAsia="zh-CN"/>
        </w:rPr>
        <w:t>KPI指标：</w:t>
      </w:r>
    </w:p>
    <w:p w14:paraId="29483357">
      <w:pPr>
        <w:pStyle w:val="32"/>
        <w:rPr>
          <w:rFonts w:hint="default"/>
          <w:lang w:val="en-US" w:eastAsia="zh-CN"/>
        </w:rPr>
      </w:pPr>
      <w:r>
        <w:rPr>
          <w:rFonts w:hint="default"/>
          <w:lang w:val="en-US" w:eastAsia="zh-CN"/>
        </w:rPr>
        <w:t>服务台请求关闭率：≥95%（月度）</w:t>
      </w:r>
    </w:p>
    <w:p w14:paraId="349730C0">
      <w:pPr>
        <w:pStyle w:val="32"/>
        <w:rPr>
          <w:rFonts w:hint="default"/>
          <w:lang w:val="en-US" w:eastAsia="zh-CN"/>
        </w:rPr>
      </w:pPr>
      <w:r>
        <w:rPr>
          <w:rFonts w:hint="default"/>
          <w:lang w:val="en-US" w:eastAsia="zh-CN"/>
        </w:rPr>
        <w:t>服务台接通率：≥98%（月度）</w:t>
      </w:r>
    </w:p>
    <w:p w14:paraId="3B8ECC4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6603"/>
      <w:r>
        <w:rPr>
          <w:rFonts w:hint="default"/>
          <w:lang w:val="en-US" w:eastAsia="zh-CN"/>
        </w:rPr>
        <w:t>备件库管理</w:t>
      </w:r>
      <w:bookmarkEnd w:id="33"/>
    </w:p>
    <w:p w14:paraId="3BD44ECE">
      <w:pPr>
        <w:pStyle w:val="32"/>
        <w:rPr>
          <w:rFonts w:hint="default"/>
          <w:lang w:val="en-US" w:eastAsia="zh-CN"/>
        </w:rPr>
      </w:pPr>
      <w:r>
        <w:rPr>
          <w:rFonts w:hint="default"/>
          <w:lang w:val="en-US" w:eastAsia="zh-CN"/>
        </w:rPr>
        <w:t>根据《运维服务备件库管理制度》，备件库是公司运维服务的重要资源保障，遵循“统一管理、集中调配”的原则，确保备件质量可靠、供应及时、管理规范。</w:t>
      </w:r>
    </w:p>
    <w:p w14:paraId="03F0FEBF">
      <w:pPr>
        <w:pStyle w:val="32"/>
        <w:rPr>
          <w:rFonts w:hint="default"/>
          <w:lang w:val="en-US" w:eastAsia="zh-CN"/>
        </w:rPr>
      </w:pPr>
      <w:r>
        <w:rPr>
          <w:rFonts w:hint="default"/>
          <w:lang w:val="en-US" w:eastAsia="zh-CN"/>
        </w:rPr>
        <w:t>2026年备件库管理的主要工作：</w:t>
      </w:r>
    </w:p>
    <w:p w14:paraId="716541DA">
      <w:pPr>
        <w:pStyle w:val="42"/>
        <w:numPr>
          <w:ilvl w:val="0"/>
          <w:numId w:val="9"/>
        </w:numPr>
        <w:bidi w:val="0"/>
        <w:ind w:left="425" w:leftChars="0" w:hanging="425" w:firstLineChars="0"/>
        <w:rPr>
          <w:rFonts w:hint="default"/>
          <w:lang w:val="en-US" w:eastAsia="zh-CN"/>
        </w:rPr>
      </w:pPr>
      <w:r>
        <w:rPr>
          <w:rFonts w:hint="default"/>
          <w:lang w:val="en-US" w:eastAsia="zh-CN"/>
        </w:rPr>
        <w:t>根据运维服务目录和SLA要求，制定备件储备规划，明确关键备件的安全库存数量，确保故障发生时能够快速调配备件。</w:t>
      </w:r>
    </w:p>
    <w:p w14:paraId="3171775D">
      <w:pPr>
        <w:pStyle w:val="42"/>
        <w:numPr>
          <w:ilvl w:val="0"/>
          <w:numId w:val="9"/>
        </w:numPr>
        <w:bidi w:val="0"/>
        <w:ind w:left="425" w:leftChars="0" w:hanging="425" w:firstLineChars="0"/>
        <w:rPr>
          <w:rFonts w:hint="default"/>
          <w:lang w:val="en-US" w:eastAsia="zh-CN"/>
        </w:rPr>
      </w:pPr>
      <w:r>
        <w:rPr>
          <w:rFonts w:hint="default"/>
          <w:lang w:val="en-US" w:eastAsia="zh-CN"/>
        </w:rPr>
        <w:t>严格按照入库验收、库存管理、出库审批的标准化流程执行，所有备件入库前均需经过验收和功能性测试，出库凭审批单办理，确保账实相符。</w:t>
      </w:r>
    </w:p>
    <w:p w14:paraId="55AB801C">
      <w:pPr>
        <w:pStyle w:val="42"/>
        <w:numPr>
          <w:ilvl w:val="0"/>
          <w:numId w:val="9"/>
        </w:numPr>
        <w:bidi w:val="0"/>
        <w:ind w:left="425" w:leftChars="0" w:hanging="425" w:firstLineChars="0"/>
        <w:rPr>
          <w:rFonts w:hint="default"/>
          <w:lang w:val="en-US" w:eastAsia="zh-CN"/>
        </w:rPr>
      </w:pPr>
      <w:r>
        <w:rPr>
          <w:rFonts w:hint="default"/>
          <w:lang w:val="en-US" w:eastAsia="zh-CN"/>
        </w:rPr>
        <w:t>每月对库存备件按30%比例进行抽检，确保备件性能符合要求，对检测中发现问题的备件，及时送修或报废处理。</w:t>
      </w:r>
    </w:p>
    <w:p w14:paraId="5C80546A">
      <w:pPr>
        <w:pStyle w:val="42"/>
        <w:numPr>
          <w:ilvl w:val="0"/>
          <w:numId w:val="9"/>
        </w:numPr>
        <w:bidi w:val="0"/>
        <w:ind w:left="425" w:leftChars="0" w:hanging="425" w:firstLineChars="0"/>
        <w:rPr>
          <w:rFonts w:hint="default"/>
          <w:lang w:val="en-US" w:eastAsia="zh-CN"/>
        </w:rPr>
      </w:pPr>
      <w:r>
        <w:rPr>
          <w:rFonts w:hint="default"/>
          <w:lang w:val="en-US" w:eastAsia="zh-CN"/>
        </w:rPr>
        <w:t>备件库专员每月对库存进行盘点，核对账实一致性，盘点结果计入个人绩效考核。</w:t>
      </w:r>
    </w:p>
    <w:p w14:paraId="2C947670">
      <w:pPr>
        <w:pStyle w:val="42"/>
        <w:numPr>
          <w:ilvl w:val="0"/>
          <w:numId w:val="9"/>
        </w:numPr>
        <w:bidi w:val="0"/>
        <w:ind w:left="425" w:leftChars="0" w:hanging="425" w:firstLineChars="0"/>
        <w:rPr>
          <w:rFonts w:hint="default"/>
          <w:lang w:val="en-US" w:eastAsia="zh-CN"/>
        </w:rPr>
      </w:pPr>
      <w:r>
        <w:rPr>
          <w:rFonts w:hint="default"/>
          <w:lang w:val="en-US" w:eastAsia="zh-CN"/>
        </w:rPr>
        <w:t>每月统计备件可用率、备件库存准确率等关键指标，分析备件库运行情况，发现异常及时改进。</w:t>
      </w:r>
    </w:p>
    <w:p w14:paraId="21966E2E">
      <w:pPr>
        <w:pStyle w:val="32"/>
        <w:rPr>
          <w:rFonts w:hint="default"/>
          <w:lang w:val="en-US" w:eastAsia="zh-CN"/>
        </w:rPr>
      </w:pPr>
      <w:r>
        <w:rPr>
          <w:rFonts w:hint="default"/>
          <w:lang w:val="en-US" w:eastAsia="zh-CN"/>
        </w:rPr>
        <w:t>KPI指标：</w:t>
      </w:r>
    </w:p>
    <w:p w14:paraId="00714390">
      <w:pPr>
        <w:pStyle w:val="32"/>
        <w:rPr>
          <w:rFonts w:hint="default"/>
          <w:lang w:val="en-US" w:eastAsia="zh-CN"/>
        </w:rPr>
      </w:pPr>
      <w:r>
        <w:rPr>
          <w:rFonts w:hint="default"/>
          <w:lang w:val="en-US" w:eastAsia="zh-CN"/>
        </w:rPr>
        <w:t>备件可用率：≥95%（季度）</w:t>
      </w:r>
    </w:p>
    <w:p w14:paraId="541E995F">
      <w:pPr>
        <w:pStyle w:val="32"/>
        <w:rPr>
          <w:rFonts w:hint="default"/>
          <w:lang w:val="en-US" w:eastAsia="zh-CN"/>
        </w:rPr>
      </w:pPr>
      <w:r>
        <w:rPr>
          <w:rFonts w:hint="default"/>
          <w:lang w:val="en-US" w:eastAsia="zh-CN"/>
        </w:rPr>
        <w:t>备件库存准确率：100%（月度）</w:t>
      </w:r>
    </w:p>
    <w:p w14:paraId="05BD01A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7154"/>
      <w:r>
        <w:rPr>
          <w:rFonts w:hint="default"/>
          <w:lang w:val="en-US" w:eastAsia="zh-CN"/>
        </w:rPr>
        <w:t>最终软件库管理</w:t>
      </w:r>
      <w:bookmarkEnd w:id="34"/>
    </w:p>
    <w:p w14:paraId="3B9D45D6">
      <w:pPr>
        <w:pStyle w:val="32"/>
        <w:rPr>
          <w:rFonts w:hint="default"/>
          <w:lang w:val="en-US" w:eastAsia="zh-CN"/>
        </w:rPr>
      </w:pPr>
      <w:r>
        <w:rPr>
          <w:rFonts w:hint="default"/>
          <w:lang w:val="en-US" w:eastAsia="zh-CN"/>
        </w:rPr>
        <w:t>2026年最终软件库管理的主要工作：</w:t>
      </w:r>
    </w:p>
    <w:p w14:paraId="4335336E">
      <w:pPr>
        <w:pStyle w:val="32"/>
        <w:numPr>
          <w:ilvl w:val="0"/>
          <w:numId w:val="10"/>
        </w:numPr>
        <w:ind w:left="425" w:leftChars="0" w:hanging="425" w:firstLineChars="0"/>
        <w:rPr>
          <w:rFonts w:hint="default"/>
          <w:lang w:val="en-US" w:eastAsia="zh-CN"/>
        </w:rPr>
      </w:pPr>
      <w:r>
        <w:rPr>
          <w:rFonts w:hint="default"/>
          <w:lang w:val="en-US" w:eastAsia="zh-CN"/>
        </w:rPr>
        <w:t>所有软件入库前需经过安全检测和完整性验证</w:t>
      </w:r>
    </w:p>
    <w:p w14:paraId="5D6617DA">
      <w:pPr>
        <w:pStyle w:val="32"/>
        <w:numPr>
          <w:ilvl w:val="0"/>
          <w:numId w:val="10"/>
        </w:numPr>
        <w:ind w:left="425" w:leftChars="0" w:hanging="425" w:firstLineChars="0"/>
        <w:rPr>
          <w:rFonts w:hint="default"/>
          <w:lang w:val="en-US" w:eastAsia="zh-CN"/>
        </w:rPr>
      </w:pPr>
      <w:r>
        <w:rPr>
          <w:rFonts w:hint="default"/>
          <w:lang w:val="en-US" w:eastAsia="zh-CN"/>
        </w:rPr>
        <w:t>建立软件版本基线，对正式版本、测试版本进行分类管理</w:t>
      </w:r>
    </w:p>
    <w:p w14:paraId="28CE8612">
      <w:pPr>
        <w:pStyle w:val="32"/>
        <w:numPr>
          <w:ilvl w:val="0"/>
          <w:numId w:val="10"/>
        </w:numPr>
        <w:ind w:left="425" w:leftChars="0" w:hanging="425" w:firstLineChars="0"/>
        <w:rPr>
          <w:rFonts w:hint="default"/>
          <w:lang w:val="en-US" w:eastAsia="zh-CN"/>
        </w:rPr>
      </w:pPr>
      <w:r>
        <w:rPr>
          <w:rFonts w:hint="default"/>
          <w:lang w:val="en-US" w:eastAsia="zh-CN"/>
        </w:rPr>
        <w:t>所有商业软件授权在软件库中统一登记，按照授权数量和使用范围进行管控</w:t>
      </w:r>
    </w:p>
    <w:p w14:paraId="6E0B7FBB">
      <w:pPr>
        <w:pStyle w:val="32"/>
        <w:numPr>
          <w:ilvl w:val="0"/>
          <w:numId w:val="10"/>
        </w:numPr>
        <w:ind w:left="425" w:leftChars="0" w:hanging="425" w:firstLineChars="0"/>
        <w:rPr>
          <w:rFonts w:hint="default"/>
          <w:lang w:val="en-US" w:eastAsia="zh-CN"/>
        </w:rPr>
      </w:pPr>
      <w:r>
        <w:rPr>
          <w:rFonts w:hint="default"/>
          <w:lang w:val="en-US" w:eastAsia="zh-CN"/>
        </w:rPr>
        <w:t>每季度对授权使用情况进行审计，确保软件使用合规</w:t>
      </w:r>
    </w:p>
    <w:p w14:paraId="135515C4">
      <w:pPr>
        <w:pStyle w:val="32"/>
        <w:numPr>
          <w:ilvl w:val="0"/>
          <w:numId w:val="10"/>
        </w:numPr>
        <w:ind w:left="425" w:leftChars="0" w:hanging="425" w:firstLineChars="0"/>
        <w:rPr>
          <w:rFonts w:hint="default"/>
          <w:lang w:val="en-US" w:eastAsia="zh-CN"/>
        </w:rPr>
      </w:pPr>
      <w:r>
        <w:rPr>
          <w:rFonts w:hint="default"/>
          <w:lang w:val="en-US" w:eastAsia="zh-CN"/>
        </w:rPr>
        <w:t>每月对软件库进行盘点，核对软件资产清单</w:t>
      </w:r>
    </w:p>
    <w:p w14:paraId="72411BC2">
      <w:pPr>
        <w:pStyle w:val="32"/>
        <w:rPr>
          <w:rFonts w:hint="default"/>
          <w:lang w:val="en-US" w:eastAsia="zh-CN"/>
        </w:rPr>
      </w:pPr>
      <w:r>
        <w:rPr>
          <w:rFonts w:hint="default"/>
          <w:lang w:val="en-US" w:eastAsia="zh-CN"/>
        </w:rPr>
        <w:t>KPI指标：软件入库完整率 100%（半年度）</w:t>
      </w:r>
    </w:p>
    <w:p w14:paraId="6177F395">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28168"/>
      <w:r>
        <w:rPr>
          <w:rFonts w:hint="default"/>
          <w:lang w:val="en-US" w:eastAsia="zh-CN"/>
        </w:rPr>
        <w:t>服务数据管理</w:t>
      </w:r>
      <w:bookmarkEnd w:id="35"/>
    </w:p>
    <w:p w14:paraId="4DA67CA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根据《运维服务服务数据管理制度》，公司服务数据由运维部主导管理，覆盖服务数据的分类、收集、备份、加密、恢复的全生命周期。</w:t>
      </w:r>
    </w:p>
    <w:p w14:paraId="4AE5EF2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2026年服务数据管理的主要工作：</w:t>
      </w:r>
    </w:p>
    <w:p w14:paraId="20321F5E">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运维工单数据每日全量备份，配置管理数据每周全量备份，监控数据每月增量备份</w:t>
      </w:r>
    </w:p>
    <w:p w14:paraId="6165D8FA">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每半年组织一次数据恢复试验，验证备份数据的可用性和完整性</w:t>
      </w:r>
    </w:p>
    <w:p w14:paraId="0E311311">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对客户敏感数据、系统核心配置等高密级数据实施存储加密和传输加密</w:t>
      </w:r>
    </w:p>
    <w:p w14:paraId="71B719C8">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针对2025年第二季度数据完整性未达标的问题，2026年持续加强数据录入规范培训和检查</w:t>
      </w:r>
    </w:p>
    <w:p w14:paraId="78C32D8D">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研发数据完整性自动校验工具，从工具层面保障服务数据质量</w:t>
      </w:r>
    </w:p>
    <w:p w14:paraId="38F1031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7C0068E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数据备份成功率：≥99%（月度）</w:t>
      </w:r>
    </w:p>
    <w:p w14:paraId="2075502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数据恢复成功率：≥95%（半年度）</w:t>
      </w:r>
    </w:p>
    <w:p w14:paraId="61B8433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数据完整性：≥99%（季度）</w:t>
      </w:r>
    </w:p>
    <w:p w14:paraId="7403D772">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24503"/>
      <w:r>
        <w:rPr>
          <w:rFonts w:hint="eastAsia"/>
          <w:lang w:val="en-US" w:eastAsia="zh-CN"/>
        </w:rPr>
        <w:t>技术研发规划</w:t>
      </w:r>
      <w:bookmarkEnd w:id="36"/>
    </w:p>
    <w:p w14:paraId="77B8495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31620"/>
      <w:r>
        <w:rPr>
          <w:rFonts w:hint="default"/>
          <w:lang w:val="en-US" w:eastAsia="zh-CN"/>
        </w:rPr>
        <w:t>研发现状</w:t>
      </w:r>
      <w:bookmarkEnd w:id="37"/>
    </w:p>
    <w:p w14:paraId="36D514D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公司研发部已建立研发管理制度，配备研发团队及开发测试环境。2025年已完成数据库监控模块的研发，实现了对MySQL、Redis等主流数据库的全面监控及慢SQL分析功能。</w:t>
      </w:r>
    </w:p>
    <w:p w14:paraId="174666E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但在运维自动化方面存在短板：人工巡检工作量大、存在操作失误风险；数据完整性依赖人工检查，效率较低；智能运维能力有待提升。</w:t>
      </w:r>
    </w:p>
    <w:p w14:paraId="2CB9035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7042"/>
      <w:r>
        <w:rPr>
          <w:rFonts w:hint="default"/>
          <w:lang w:val="en-US" w:eastAsia="zh-CN"/>
        </w:rPr>
        <w:t>研发目标</w:t>
      </w:r>
      <w:bookmarkEnd w:id="38"/>
    </w:p>
    <w:p w14:paraId="655475F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2026年技术研发聚焦于四个方向：</w:t>
      </w:r>
    </w:p>
    <w:p w14:paraId="52FD2485">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运维自动化提升：研发自动化巡检工具，实现服务器、网络设备、数据库、前端设备的自动化巡检</w:t>
      </w:r>
    </w:p>
    <w:p w14:paraId="0DA15F1A">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数据质量保障：研发数据完整性自动校验工具，从工具层面保障服务数据质量</w:t>
      </w:r>
    </w:p>
    <w:p w14:paraId="44200774">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智能运维能力建设：在2025年智能告警技术基础上，进一步研发根因分析、智能诊断功能</w:t>
      </w:r>
    </w:p>
    <w:p w14:paraId="7F5B7BC5">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运维工具整合优化：优化现有监控平台和服务知识的易用性</w:t>
      </w:r>
    </w:p>
    <w:p w14:paraId="7BC1C8F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20358"/>
      <w:r>
        <w:rPr>
          <w:rFonts w:hint="eastAsia"/>
          <w:lang w:val="en-US" w:eastAsia="zh-CN"/>
        </w:rPr>
        <w:t>研发计划</w:t>
      </w:r>
      <w:bookmarkEnd w:id="39"/>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1"/>
        <w:gridCol w:w="5381"/>
        <w:gridCol w:w="1990"/>
      </w:tblGrid>
      <w:tr w14:paraId="2B9AE8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15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5373FA00">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阶段</w:t>
            </w:r>
          </w:p>
        </w:tc>
        <w:tc>
          <w:tcPr>
            <w:tcW w:w="538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D04B23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阶段名称</w:t>
            </w:r>
          </w:p>
        </w:tc>
        <w:tc>
          <w:tcPr>
            <w:tcW w:w="1990"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4E32A7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计划完成时间</w:t>
            </w:r>
          </w:p>
        </w:tc>
      </w:tr>
      <w:tr w14:paraId="206F6E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C81D07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第一阶段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952D0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项目启动</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B87340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2026年1月</w:t>
            </w:r>
          </w:p>
        </w:tc>
      </w:tr>
      <w:tr w14:paraId="352F3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113048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第二阶段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50E04F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需求分析</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338B73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2026年2月</w:t>
            </w:r>
          </w:p>
        </w:tc>
      </w:tr>
      <w:tr w14:paraId="4B2023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9CDD30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第三阶段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6D3DDD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系统开发一期（自动化巡检工具）</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11EDCB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2026年3月-4月</w:t>
            </w:r>
          </w:p>
        </w:tc>
      </w:tr>
      <w:tr w14:paraId="1CDF13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0889C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第四阶段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B9E1A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系统开发二期（数据完整性校验工具）</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336E9E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2026年5月-6月</w:t>
            </w:r>
          </w:p>
        </w:tc>
      </w:tr>
      <w:tr w14:paraId="27381E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A164AF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第五阶段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362C67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系统开发三期（智能告警优化+知识库智能检索）</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8724E8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2026年7月-8月</w:t>
            </w:r>
          </w:p>
        </w:tc>
      </w:tr>
      <w:tr w14:paraId="6C41E4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14D6A3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第六阶段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C16894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试运行部署</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664FF6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2026年9月</w:t>
            </w:r>
          </w:p>
        </w:tc>
      </w:tr>
      <w:tr w14:paraId="1532C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9E6A9E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第七阶段</w:t>
            </w:r>
          </w:p>
        </w:tc>
        <w:tc>
          <w:tcPr>
            <w:tcW w:w="538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E851A0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项目收尾</w:t>
            </w:r>
          </w:p>
        </w:tc>
        <w:tc>
          <w:tcPr>
            <w:tcW w:w="1990"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78BB12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2026年10月</w:t>
            </w:r>
          </w:p>
        </w:tc>
      </w:tr>
      <w:tr w14:paraId="2DF9E8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0EC090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第八阶段</w:t>
            </w:r>
          </w:p>
        </w:tc>
        <w:tc>
          <w:tcPr>
            <w:tcW w:w="538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3B2666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推广应用</w:t>
            </w:r>
          </w:p>
        </w:tc>
        <w:tc>
          <w:tcPr>
            <w:tcW w:w="1990"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1168E33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2026年11月-12月</w:t>
            </w:r>
          </w:p>
        </w:tc>
      </w:tr>
    </w:tbl>
    <w:p w14:paraId="7EC4417F">
      <w:pPr>
        <w:pStyle w:val="34"/>
        <w:bidi w:val="0"/>
        <w:rPr>
          <w:rFonts w:hint="default"/>
          <w:lang w:val="en-US" w:eastAsia="zh-CN"/>
        </w:rPr>
      </w:pPr>
      <w:bookmarkStart w:id="40" w:name="_Toc717"/>
      <w:bookmarkStart w:id="41" w:name="_Toc27887"/>
      <w:r>
        <w:rPr>
          <w:rFonts w:hint="default"/>
          <w:lang w:val="en-US" w:eastAsia="zh-CN"/>
        </w:rPr>
        <w:t>主要功能研发安排</w:t>
      </w:r>
      <w:bookmarkEnd w:id="40"/>
      <w:bookmarkEnd w:id="41"/>
    </w:p>
    <w:tbl>
      <w:tblPr>
        <w:tblStyle w:val="23"/>
        <w:tblW w:w="84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12"/>
        <w:gridCol w:w="1400"/>
        <w:gridCol w:w="3884"/>
        <w:gridCol w:w="1402"/>
      </w:tblGrid>
      <w:tr w14:paraId="70C9C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856AF37">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研发方向</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4D92883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功能模块</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34289A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具体功能</w:t>
            </w:r>
          </w:p>
        </w:tc>
        <w:tc>
          <w:tcPr>
            <w:tcW w:w="140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B79712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计划完成时间</w:t>
            </w:r>
          </w:p>
        </w:tc>
      </w:tr>
      <w:tr w14:paraId="748D93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62E6AE8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自动化巡检工具</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DD55D2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服务器巡检</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F9BCCC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CPU、内存、磁盘巡检</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CA9587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2026年2月</w:t>
            </w:r>
          </w:p>
        </w:tc>
      </w:tr>
      <w:tr w14:paraId="40B7C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3F07A6A2">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A051E5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网络设备巡检</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93E8FA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连通性巡检</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7C971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2026年3月</w:t>
            </w:r>
          </w:p>
        </w:tc>
      </w:tr>
      <w:tr w14:paraId="5A17CF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72DC095D">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C9F897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数据库巡检</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F20701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连接数、慢查询、表空间检查</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7914FE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2026年4月</w:t>
            </w:r>
          </w:p>
        </w:tc>
      </w:tr>
      <w:tr w14:paraId="1BD36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3CD6BCA2">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2E7A80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前端设备巡检</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546643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收银机、扫码枪、打印机在线检测</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6903EF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2026年4月</w:t>
            </w:r>
          </w:p>
        </w:tc>
      </w:tr>
      <w:tr w14:paraId="49112A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5CB78DA9">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DECE06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巡检报告</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9CF459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自动生成巡检报告（日报/周报/月报）</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353524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2026年4月</w:t>
            </w:r>
          </w:p>
        </w:tc>
      </w:tr>
      <w:tr w14:paraId="52B60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345AE9E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数据完整性校验工具</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AC8365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字段校验</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FCCE3D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必填字段完整性检查</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D3FBB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2026年5月</w:t>
            </w:r>
          </w:p>
        </w:tc>
      </w:tr>
      <w:tr w14:paraId="6CD28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5CCF2343">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0FAE89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格式校验</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3D613F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日期、金额等字段格式正确性检查</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91FE88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2026年6月</w:t>
            </w:r>
          </w:p>
        </w:tc>
      </w:tr>
      <w:tr w14:paraId="54616A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069019B1">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C02363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逻辑校验</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CA1565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业务逻辑一致性检查（如订单金额=明细汇总）</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1318DD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2026年6月</w:t>
            </w:r>
          </w:p>
        </w:tc>
      </w:tr>
      <w:tr w14:paraId="4ACBB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10F62850">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71E422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异常预警</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262250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异常数据自动告警</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42FAE3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2026年6月</w:t>
            </w:r>
          </w:p>
        </w:tc>
      </w:tr>
      <w:tr w14:paraId="735F7D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3745B1B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智能告警优化</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1137C6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告警聚合</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7EA5EC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相似告警自动聚合</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BF86BB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2026年7月</w:t>
            </w:r>
          </w:p>
        </w:tc>
      </w:tr>
      <w:tr w14:paraId="63625D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0956BF00">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6A007B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根因推荐</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585EAE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基于历史数据推荐故障根因</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07BE11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2026年8月</w:t>
            </w:r>
          </w:p>
        </w:tc>
      </w:tr>
      <w:tr w14:paraId="45E1E7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continue"/>
            <w:tcBorders>
              <w:left w:val="single" w:color="auto" w:sz="12" w:space="0"/>
              <w:right w:val="nil"/>
            </w:tcBorders>
            <w:shd w:val="clear" w:color="auto" w:fill="auto"/>
            <w:tcMar>
              <w:top w:w="120" w:type="dxa"/>
              <w:left w:w="-1" w:type="dxa"/>
              <w:bottom w:w="120" w:type="dxa"/>
              <w:right w:w="192" w:type="dxa"/>
            </w:tcMar>
            <w:vAlign w:val="center"/>
          </w:tcPr>
          <w:p w14:paraId="46237B56">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1FDAFA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告警抑制</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7A5A96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关联告警自动抑制</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0BFBCA7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2026年8月</w:t>
            </w:r>
          </w:p>
        </w:tc>
      </w:tr>
      <w:tr w14:paraId="17C89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continue"/>
            <w:tcBorders>
              <w:left w:val="single" w:color="auto" w:sz="12" w:space="0"/>
              <w:bottom w:val="nil"/>
              <w:right w:val="nil"/>
            </w:tcBorders>
            <w:shd w:val="clear" w:color="auto" w:fill="auto"/>
            <w:tcMar>
              <w:top w:w="120" w:type="dxa"/>
              <w:left w:w="-1" w:type="dxa"/>
              <w:bottom w:w="120" w:type="dxa"/>
              <w:right w:w="192" w:type="dxa"/>
            </w:tcMar>
            <w:vAlign w:val="center"/>
          </w:tcPr>
          <w:p w14:paraId="795295BD">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72ADCD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告警升级</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CE2BC8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长时间未处理告警自动升级</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1A8C24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2026年8月</w:t>
            </w:r>
          </w:p>
        </w:tc>
      </w:tr>
      <w:tr w14:paraId="7FF53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restart"/>
            <w:tcBorders>
              <w:top w:val="single" w:color="auto" w:sz="4" w:space="0"/>
              <w:left w:val="single" w:color="auto" w:sz="12" w:space="0"/>
              <w:right w:val="nil"/>
            </w:tcBorders>
            <w:shd w:val="clear" w:color="auto" w:fill="auto"/>
            <w:tcMar>
              <w:top w:w="120" w:type="dxa"/>
              <w:left w:w="-1" w:type="dxa"/>
              <w:bottom w:w="120" w:type="dxa"/>
              <w:right w:w="192" w:type="dxa"/>
            </w:tcMar>
            <w:vAlign w:val="center"/>
          </w:tcPr>
          <w:p w14:paraId="211F819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6"/>
                <w:rFonts w:hint="default" w:ascii="Segoe UI" w:hAnsi="Segoe UI" w:eastAsia="Segoe UI" w:cs="Segoe UI"/>
                <w:b/>
                <w:bCs/>
                <w:i w:val="0"/>
                <w:iCs w:val="0"/>
                <w:caps w:val="0"/>
                <w:snapToGrid w:val="0"/>
                <w:color w:val="000000"/>
                <w:spacing w:val="0"/>
                <w:kern w:val="0"/>
                <w:sz w:val="18"/>
                <w:szCs w:val="18"/>
                <w:lang w:val="en-US" w:eastAsia="zh-CN"/>
              </w:rPr>
              <w:t>知识库优化</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4B9E62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语义搜索</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A2C568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自然语言搜索知识库</w:t>
            </w:r>
          </w:p>
        </w:tc>
        <w:tc>
          <w:tcPr>
            <w:tcW w:w="140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47585B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2026年8月</w:t>
            </w:r>
          </w:p>
        </w:tc>
      </w:tr>
      <w:tr w14:paraId="569DF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12" w:type="dxa"/>
            <w:vMerge w:val="continue"/>
            <w:tcBorders>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3A30CEB">
            <w:pPr>
              <w:snapToGrid w:val="0"/>
              <w:ind w:left="0" w:leftChars="0" w:right="0" w:rightChars="0" w:firstLine="0" w:firstLineChars="0"/>
              <w:jc w:val="center"/>
              <w:rPr>
                <w:rFonts w:hint="default" w:ascii="Segoe UI" w:hAnsi="Segoe UI" w:eastAsia="Segoe UI" w:cs="Segoe UI"/>
                <w:i w:val="0"/>
                <w:iCs w:val="0"/>
                <w:caps w:val="0"/>
                <w:color w:val="0F1115"/>
                <w:spacing w:val="0"/>
                <w:sz w:val="18"/>
                <w:szCs w:val="18"/>
              </w:rPr>
            </w:pPr>
          </w:p>
        </w:tc>
        <w:tc>
          <w:tcPr>
            <w:tcW w:w="140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837408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智能推荐</w:t>
            </w:r>
          </w:p>
        </w:tc>
        <w:tc>
          <w:tcPr>
            <w:tcW w:w="388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27F64E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根据事件描述自动推荐相关知识</w:t>
            </w:r>
          </w:p>
        </w:tc>
        <w:tc>
          <w:tcPr>
            <w:tcW w:w="140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4520830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2026年8月</w:t>
            </w:r>
          </w:p>
        </w:tc>
      </w:tr>
    </w:tbl>
    <w:p w14:paraId="7EE42606">
      <w:pPr>
        <w:pStyle w:val="32"/>
        <w:bidi w:val="0"/>
        <w:rPr>
          <w:rFonts w:hint="eastAsia"/>
          <w:lang w:val="en-US" w:eastAsia="zh-CN"/>
        </w:rPr>
      </w:pPr>
      <w:r>
        <w:rPr>
          <w:rFonts w:hint="eastAsia"/>
          <w:lang w:val="en-US" w:eastAsia="zh-CN"/>
        </w:rPr>
        <w:t>KPI指标：</w:t>
      </w:r>
    </w:p>
    <w:p w14:paraId="5EB2E63E">
      <w:pPr>
        <w:pStyle w:val="32"/>
        <w:bidi w:val="0"/>
        <w:rPr>
          <w:rFonts w:hint="eastAsia"/>
          <w:lang w:val="en-US" w:eastAsia="zh-CN"/>
        </w:rPr>
      </w:pPr>
      <w:r>
        <w:rPr>
          <w:rFonts w:hint="eastAsia"/>
          <w:lang w:val="en-US" w:eastAsia="zh-CN"/>
        </w:rPr>
        <w:t>研发计划完成率：100%（年度）</w:t>
      </w:r>
    </w:p>
    <w:p w14:paraId="52A3E162">
      <w:pPr>
        <w:pStyle w:val="32"/>
        <w:bidi w:val="0"/>
        <w:rPr>
          <w:rFonts w:hint="eastAsia"/>
          <w:lang w:val="en-US" w:eastAsia="zh-CN"/>
        </w:rPr>
      </w:pPr>
      <w:r>
        <w:rPr>
          <w:rFonts w:hint="eastAsia"/>
          <w:lang w:val="en-US" w:eastAsia="zh-CN"/>
        </w:rPr>
        <w:t>技术研发完成延时率：≤5%（季度）</w:t>
      </w:r>
    </w:p>
    <w:p w14:paraId="1D57143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18439"/>
      <w:r>
        <w:rPr>
          <w:rFonts w:hint="eastAsia"/>
          <w:lang w:val="en-US" w:eastAsia="zh-CN"/>
        </w:rPr>
        <w:t>过程管理规划</w:t>
      </w:r>
      <w:bookmarkEnd w:id="42"/>
    </w:p>
    <w:p w14:paraId="1FADDC2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为确保运维服务过程的规范性、一致性和可追溯性，2026年公司将按照ITSS标准要求，建立并持续优化运维服务过程管理体系。</w:t>
      </w:r>
    </w:p>
    <w:p w14:paraId="0AED6016">
      <w:pPr>
        <w:pStyle w:val="34"/>
        <w:bidi w:val="0"/>
        <w:rPr>
          <w:rFonts w:hint="eastAsia"/>
          <w:lang w:val="en-US" w:eastAsia="zh-CN"/>
        </w:rPr>
      </w:pPr>
      <w:bookmarkStart w:id="43" w:name="_Toc15798"/>
      <w:r>
        <w:rPr>
          <w:rFonts w:hint="eastAsia"/>
          <w:lang w:val="en-US" w:eastAsia="zh-CN"/>
        </w:rPr>
        <w:t>过程框架管理</w:t>
      </w:r>
      <w:bookmarkEnd w:id="43"/>
    </w:p>
    <w:p w14:paraId="5BAA68A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根据《运维服务过程框架管理制度》，公司运维服务过程框架分为服务规划与设计、服务部署与实施、服务运营与管理、服务监控与改进四个核心阶段，形成完整的PDCA闭环。</w:t>
      </w:r>
    </w:p>
    <w:p w14:paraId="7E3B1A8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2026年过程框架管理的主要工作：</w:t>
      </w:r>
    </w:p>
    <w:p w14:paraId="7CEB3EE8">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运维部负责持续完善运维服务过程框架相关管理制度，结合2025年运行经验进行优化，重点完善跨部门协作流程</w:t>
      </w:r>
    </w:p>
    <w:p w14:paraId="1279E6B4">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产品质量部每年度组织一次过程框架评价，评估各过程执行的符合性和有效性，形成《过程框架评价报告》</w:t>
      </w:r>
    </w:p>
    <w:p w14:paraId="53787EE8">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各过程的执行情况纳入月度服务报告，定期向管理层汇报</w:t>
      </w:r>
    </w:p>
    <w:p w14:paraId="0C057DA9">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针对2025年内审中发现的过程执行问题（如运维工具效果评估机制不完善），持续跟踪改进措施的落实情况，确保在2026年第一季度完成制度修订和人员培训</w:t>
      </w:r>
    </w:p>
    <w:p w14:paraId="56B461D2">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建立过程框架持续优化机制，每季度收集各部门对过程框架的改进建议</w:t>
      </w:r>
    </w:p>
    <w:p w14:paraId="05CAC3E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KPI指标：过程框架评价次数 ≥1次（年度）</w:t>
      </w:r>
    </w:p>
    <w:p w14:paraId="0C8964EC">
      <w:pPr>
        <w:pStyle w:val="34"/>
        <w:bidi w:val="0"/>
        <w:rPr>
          <w:rFonts w:hint="eastAsia"/>
          <w:lang w:val="en-US" w:eastAsia="zh-CN"/>
        </w:rPr>
      </w:pPr>
      <w:bookmarkStart w:id="44" w:name="_Toc9463"/>
      <w:r>
        <w:rPr>
          <w:rFonts w:hint="eastAsia"/>
          <w:lang w:val="en-US" w:eastAsia="zh-CN"/>
        </w:rPr>
        <w:t>服务级别管理</w:t>
      </w:r>
      <w:bookmarkEnd w:id="44"/>
    </w:p>
    <w:p w14:paraId="340B2D2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根据《运维服务级别管理制度》，公司建立服务级别管理流程，对运维服务级别进行协商、监控和报告。</w:t>
      </w:r>
    </w:p>
    <w:p w14:paraId="2586885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2026年服务级别管理的主要工作：</w:t>
      </w:r>
    </w:p>
    <w:p w14:paraId="1FE299A6">
      <w:pPr>
        <w:pStyle w:val="32"/>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运维部经理负责制定和更新服务目录，定义和维持有效的服务级别管理流程，2026年重点关注前端设备运维服务的SLA优化</w:t>
      </w:r>
    </w:p>
    <w:p w14:paraId="34DF78EA">
      <w:pPr>
        <w:pStyle w:val="32"/>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运维项目经理执行SLA的制定或修订工作，SLA须由客户确认后，提交运维部评审，评审通过后再经管理层评审</w:t>
      </w:r>
    </w:p>
    <w:p w14:paraId="5F5BBB44">
      <w:pPr>
        <w:pStyle w:val="32"/>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产品质量部每季度对服务级别执行情况进行监控，统计SLA达成率，对未达标的SLA项进行原因分析并制定改进措施</w:t>
      </w:r>
    </w:p>
    <w:p w14:paraId="5D44E64E">
      <w:pPr>
        <w:pStyle w:val="32"/>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针对前端设备老化问题，在SLA中增加设备健康度监控指标，与客户协商建立设备更新预警机制</w:t>
      </w:r>
    </w:p>
    <w:p w14:paraId="46D1229B">
      <w:pPr>
        <w:pStyle w:val="32"/>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根据管理评审结果或部门例会决议，识别问题和差距，填写《服务改进计划表》，持续改进服务级别</w:t>
      </w:r>
    </w:p>
    <w:p w14:paraId="25F6A29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69EF53E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SLA达成率：≥95%（季度）</w:t>
      </w:r>
    </w:p>
    <w:p w14:paraId="14C9919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SLA评审次数：≥1次（年度）</w:t>
      </w:r>
    </w:p>
    <w:p w14:paraId="7C4335AA">
      <w:pPr>
        <w:pStyle w:val="34"/>
        <w:bidi w:val="0"/>
        <w:rPr>
          <w:rFonts w:hint="eastAsia"/>
          <w:lang w:val="en-US" w:eastAsia="zh-CN"/>
        </w:rPr>
      </w:pPr>
      <w:r>
        <w:rPr>
          <w:rFonts w:hint="eastAsia"/>
          <w:lang w:val="en-US" w:eastAsia="zh-CN"/>
        </w:rPr>
        <w:t xml:space="preserve"> </w:t>
      </w:r>
      <w:bookmarkStart w:id="45" w:name="_Toc16056"/>
      <w:r>
        <w:rPr>
          <w:rFonts w:hint="eastAsia"/>
          <w:lang w:val="en-US" w:eastAsia="zh-CN"/>
        </w:rPr>
        <w:t>服务报告管理</w:t>
      </w:r>
      <w:bookmarkEnd w:id="45"/>
    </w:p>
    <w:p w14:paraId="55E7D91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根据《运维服务报告管理制度》，公司建立标准化的服务报告管理机制，确保服务报告的及时性、准确性和完整性。</w:t>
      </w:r>
    </w:p>
    <w:p w14:paraId="6BB964F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2026年服务报告管理的主要工作：</w:t>
      </w:r>
    </w:p>
    <w:p w14:paraId="791A8DED">
      <w:pPr>
        <w:pStyle w:val="32"/>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运维项目经理负责按照固定格式和周期编制服务报告，包括日常运维报告（每周）、服务级别报告（每月）、季度服务报告（每季度）、年度服务报告（每年）以及重大事件报告、专项改进报告等</w:t>
      </w:r>
    </w:p>
    <w:p w14:paraId="492EE5B6">
      <w:pPr>
        <w:pStyle w:val="32"/>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产品质量部每季度组织服务报告管理过程的评审，从及时性、准确性、完整性、可读性、分析深度等维度进行评估</w:t>
      </w:r>
    </w:p>
    <w:p w14:paraId="45C15D42">
      <w:pPr>
        <w:pStyle w:val="32"/>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服务报告按照分发矩阵提交给客户、管理层、产品质量部等相关方，重要报告需确认对方已接收</w:t>
      </w:r>
    </w:p>
    <w:p w14:paraId="5D2DC4CD">
      <w:pPr>
        <w:pStyle w:val="32"/>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基于2025年服务报告交付及时率100%、准确率100%的良好基础，2026年继续保持高标准要求，并增加报告的数据分析深度</w:t>
      </w:r>
    </w:p>
    <w:p w14:paraId="79F63CA1">
      <w:pPr>
        <w:pStyle w:val="32"/>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在季度服务报告中增加前端设备运行趋势分析和用户操作熟练度评估内容，为设备更新和用户培训提供数据支撑</w:t>
      </w:r>
    </w:p>
    <w:p w14:paraId="50A566C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0199B3E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服务报告交付及时率：≥95%（季度）</w:t>
      </w:r>
    </w:p>
    <w:p w14:paraId="48160CA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服务报告准确率：≥98%（季度）</w:t>
      </w:r>
    </w:p>
    <w:p w14:paraId="505D9499">
      <w:pPr>
        <w:pStyle w:val="34"/>
        <w:bidi w:val="0"/>
        <w:rPr>
          <w:rFonts w:hint="eastAsia"/>
          <w:lang w:val="en-US" w:eastAsia="zh-CN"/>
        </w:rPr>
      </w:pPr>
      <w:bookmarkStart w:id="46" w:name="_Toc18846"/>
      <w:r>
        <w:rPr>
          <w:rFonts w:hint="eastAsia"/>
          <w:lang w:val="en-US" w:eastAsia="zh-CN"/>
        </w:rPr>
        <w:t>事件管理</w:t>
      </w:r>
      <w:bookmarkEnd w:id="46"/>
    </w:p>
    <w:p w14:paraId="56081DC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根据《运维服务事件管理制度》，公司建立标准化的服务事件管理流程，确保事件能够快速响应和有效解决。</w:t>
      </w:r>
    </w:p>
    <w:p w14:paraId="18764CE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2026年事件管理的主要工作：</w:t>
      </w:r>
    </w:p>
    <w:p w14:paraId="73E28EA7">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服务台作为事件统一受理窗口，7×24小时接收客户事件请求</w:t>
      </w:r>
    </w:p>
    <w:p w14:paraId="6F812838">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事件根据影响范围和紧急程度分为一级、二级、三级，各级事件规定相应的响应时间和处理时间要求</w:t>
      </w:r>
    </w:p>
    <w:p w14:paraId="30D26316">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当事件在规定时间内未能解决时，按升级时间要求（进行升级处理</w:t>
      </w:r>
    </w:p>
    <w:p w14:paraId="24041E4E">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事件解决后，服务台进行客户回访，确认事件解决效果并收集满意度</w:t>
      </w:r>
    </w:p>
    <w:p w14:paraId="49763D09">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每月统计事件处理情况，分析事件趋势，识别高频事件类型，重点关注前端设备故障和网络波动类事件，为问题管理提供输入</w:t>
      </w:r>
    </w:p>
    <w:p w14:paraId="1BB37823">
      <w:pPr>
        <w:pStyle w:val="32"/>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建立事件复盘机制，对典型事件进行月度复盘分析，形成案例并在团队内分享</w:t>
      </w:r>
    </w:p>
    <w:p w14:paraId="6F8E9EC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1243A70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事件解决率：≥95%（季度）</w:t>
      </w:r>
    </w:p>
    <w:p w14:paraId="1042903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一线解决率：≥70%（月度）</w:t>
      </w:r>
    </w:p>
    <w:p w14:paraId="3A9698FB">
      <w:pPr>
        <w:pStyle w:val="34"/>
        <w:bidi w:val="0"/>
        <w:rPr>
          <w:rFonts w:hint="eastAsia"/>
          <w:lang w:val="en-US" w:eastAsia="zh-CN"/>
        </w:rPr>
      </w:pPr>
      <w:bookmarkStart w:id="47" w:name="_Toc3164"/>
      <w:r>
        <w:rPr>
          <w:rFonts w:hint="eastAsia"/>
          <w:lang w:val="en-US" w:eastAsia="zh-CN"/>
        </w:rPr>
        <w:t>问题管理</w:t>
      </w:r>
      <w:bookmarkEnd w:id="47"/>
    </w:p>
    <w:p w14:paraId="0F9B0CE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根据《运维服务问题管理制度》，公司建立问题管理流程，通过分析事件的根本原因，防止同类事件再次发生。</w:t>
      </w:r>
    </w:p>
    <w:p w14:paraId="417F00B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2026年问题管理的主要工作：</w:t>
      </w:r>
    </w:p>
    <w:p w14:paraId="517549A2">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当事件原因不明、同一事件频繁发生（一周内发生3次以上）、事件影响重大时，由事件管理流程触发问题管理流程</w:t>
      </w:r>
    </w:p>
    <w:p w14:paraId="06F4B4FC">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研发部经理作为问题管理负责人，负责分派问题并跟踪解决</w:t>
      </w:r>
    </w:p>
    <w:p w14:paraId="35D61B55">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问题分析采用5W1H、鱼骨图、故障树等方法进行根本原因分析</w:t>
      </w:r>
    </w:p>
    <w:p w14:paraId="477E75CC">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问题解决后，将解决方案录入知识库，形成知识沉淀</w:t>
      </w:r>
    </w:p>
    <w:p w14:paraId="51D10F4C">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问题管理负责人每月进行问题汇总分析，结果作为服务报告的输入</w:t>
      </w:r>
    </w:p>
    <w:p w14:paraId="16FD2A9E">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重点关注2025年识别的高频问题类型：前端设备老化故障、网络稳定性波动，组织专项问题分析，推动根本性解决</w:t>
      </w:r>
    </w:p>
    <w:p w14:paraId="67EC4CB5">
      <w:pPr>
        <w:pStyle w:val="32"/>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建立问题解决效果跟踪机制，在问题关闭后3个月内持续监控同类事件发生率，评估问题解决效果</w:t>
      </w:r>
    </w:p>
    <w:p w14:paraId="2B5F70B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KPI指标：问题解决率 ≥90%（季度）</w:t>
      </w:r>
    </w:p>
    <w:p w14:paraId="7EE03C25">
      <w:pPr>
        <w:pStyle w:val="34"/>
        <w:bidi w:val="0"/>
        <w:rPr>
          <w:rFonts w:hint="eastAsia"/>
          <w:lang w:val="en-US" w:eastAsia="zh-CN"/>
        </w:rPr>
      </w:pPr>
      <w:bookmarkStart w:id="48" w:name="_Toc5632"/>
      <w:r>
        <w:rPr>
          <w:rFonts w:hint="eastAsia"/>
          <w:lang w:val="en-US" w:eastAsia="zh-CN"/>
        </w:rPr>
        <w:t>变更管理</w:t>
      </w:r>
      <w:bookmarkEnd w:id="48"/>
    </w:p>
    <w:p w14:paraId="0DEE5B6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根据《运维服务变更管理制度》，公司建立变更管理流程，对所有对运维服务环境有影响的变更进行管理和控制。</w:t>
      </w:r>
    </w:p>
    <w:p w14:paraId="469609A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2026年变更管理的主要工作：</w:t>
      </w:r>
    </w:p>
    <w:p w14:paraId="4FEFDA64">
      <w:pPr>
        <w:pStyle w:val="32"/>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变更分为一般变更、重大变更、紧急变更三类，不同类型的变更执行不同的审批流程</w:t>
      </w:r>
    </w:p>
    <w:p w14:paraId="5CCC99F4">
      <w:pPr>
        <w:pStyle w:val="32"/>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变更方案必须包含回退计划，明确回退触发条件、回退操作步骤、回退负责人、回退验证方法等</w:t>
      </w:r>
    </w:p>
    <w:p w14:paraId="0981C980">
      <w:pPr>
        <w:pStyle w:val="32"/>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重大变更和紧急变更由变更管理委员会（CAB）进行评估和决策，CAB成员包括运维部经理、研发部经理、产品质量部经理、总经理/副总经理、客户代表</w:t>
      </w:r>
    </w:p>
    <w:p w14:paraId="704FB86D">
      <w:pPr>
        <w:pStyle w:val="32"/>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变更完成后，变更管理负责人每季度对变更数量进行统计，分析变更过程存在的问题，形成变更服务报告</w:t>
      </w:r>
    </w:p>
    <w:p w14:paraId="7CFA9E6B">
      <w:pPr>
        <w:pStyle w:val="32"/>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针对2025年应急演练中发现的备用服务器配置差异问题，建立变更后的配置一致性检查机制，确保主备环境配置同步</w:t>
      </w:r>
    </w:p>
    <w:p w14:paraId="7C3DCFD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KPI指标：变更成功率 ≥92%（季度）</w:t>
      </w:r>
    </w:p>
    <w:p w14:paraId="7F1A41FC">
      <w:pPr>
        <w:pStyle w:val="34"/>
        <w:bidi w:val="0"/>
        <w:rPr>
          <w:rFonts w:hint="eastAsia"/>
          <w:lang w:val="en-US" w:eastAsia="zh-CN"/>
        </w:rPr>
      </w:pPr>
      <w:bookmarkStart w:id="49" w:name="_Toc20206"/>
      <w:r>
        <w:rPr>
          <w:rFonts w:hint="eastAsia"/>
          <w:lang w:val="en-US" w:eastAsia="zh-CN"/>
        </w:rPr>
        <w:t>发布管理</w:t>
      </w:r>
      <w:bookmarkEnd w:id="49"/>
    </w:p>
    <w:p w14:paraId="2F24D95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根据《运维服务发布管理制度》，公司建立发布管理流程，确保软件和硬件的变更经过测试验证后有序发布。</w:t>
      </w:r>
    </w:p>
    <w:p w14:paraId="39CC056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2026年发布管理的主要工作：</w:t>
      </w:r>
    </w:p>
    <w:p w14:paraId="529C356A">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发布管理负责人根据变更计划制定《发布方案》，发布方案必须包含回退计划</w:t>
      </w:r>
    </w:p>
    <w:p w14:paraId="68B55E53">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发布方案需经发布管理负责人（运维部经理）牵头评审，评审通过后方可实施</w:t>
      </w:r>
    </w:p>
    <w:p w14:paraId="4EE07547">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发布前应对程序和数据进行备份，部署完成后进行验证，验证不成功则按计划执行回退</w:t>
      </w:r>
    </w:p>
    <w:p w14:paraId="6AB81337">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发布完成后，发布管理负责人收集发布引起的事件或问题数量、发布数量等数据，进行分析并编写《发布报告》，作为服务报告的一部分</w:t>
      </w:r>
    </w:p>
    <w:p w14:paraId="5D8F208A">
      <w:pPr>
        <w:pStyle w:val="32"/>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针对2026年研发规划中的自动化巡检工具、数据完整性校验工具等新功能发布，建立分批次、分项目的灰度发布机制，降低发布风险</w:t>
      </w:r>
    </w:p>
    <w:p w14:paraId="01CB09D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KPI指标：发布成功率 ≥95%（季度）</w:t>
      </w:r>
    </w:p>
    <w:p w14:paraId="7C2C8A5D">
      <w:pPr>
        <w:pStyle w:val="34"/>
        <w:bidi w:val="0"/>
        <w:rPr>
          <w:rFonts w:hint="eastAsia"/>
          <w:lang w:val="en-US" w:eastAsia="zh-CN"/>
        </w:rPr>
      </w:pPr>
      <w:bookmarkStart w:id="50" w:name="_Toc65"/>
      <w:r>
        <w:rPr>
          <w:rFonts w:hint="eastAsia"/>
          <w:lang w:val="en-US" w:eastAsia="zh-CN"/>
        </w:rPr>
        <w:t>配置管理</w:t>
      </w:r>
      <w:bookmarkEnd w:id="50"/>
    </w:p>
    <w:p w14:paraId="29FC9AA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根据《运维服务配置管理制度》，公司建立配置管理流程，通过配置管理数据库（CMDB）对配置项进行统一管理。</w:t>
      </w:r>
    </w:p>
    <w:p w14:paraId="6653962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2026年配置管理的主要工作：</w:t>
      </w:r>
    </w:p>
    <w:p w14:paraId="01C32747">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配置项范围涵盖文档信息、软件信息、硬件信息、其他信息（供应商信息、备件信息等）</w:t>
      </w:r>
    </w:p>
    <w:p w14:paraId="04BE747B">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硬件运维工程师、软件运维工程师、备件库专员分别负责对应配置项的录入和维护</w:t>
      </w:r>
    </w:p>
    <w:p w14:paraId="52DE0675">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配置项状态包括开发中、测试中、运行中、废弃</w:t>
      </w:r>
    </w:p>
    <w:p w14:paraId="6AE552A9">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每年至少进行一次配置审计和验证，发生重大变更、新服务上线、发现配置信息与实际情况不符时追加审计</w:t>
      </w:r>
    </w:p>
    <w:p w14:paraId="453E6178">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配置管理员每月整理配置管理数据库的信息，编写《配置管理报告》</w:t>
      </w:r>
    </w:p>
    <w:p w14:paraId="7FAB667C">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针对2025年应急演练中发现的备份服务器配置差异问题，建立主备配置项的一致性管理机制，每月进行配置比对</w:t>
      </w:r>
    </w:p>
    <w:p w14:paraId="39C388D4">
      <w:pPr>
        <w:pStyle w:val="32"/>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将前端设备信息（收银机型号、使用年限、维保记录等）纳入配置管理数据库，为设备更新评估提供数据支撑</w:t>
      </w:r>
    </w:p>
    <w:p w14:paraId="73D2E1C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34B8AA4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配置数据准确率：≥95%（季度）</w:t>
      </w:r>
    </w:p>
    <w:p w14:paraId="55B18D5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配置项覆盖率：≥95%（季度）</w:t>
      </w:r>
    </w:p>
    <w:p w14:paraId="5332622B">
      <w:pPr>
        <w:pStyle w:val="34"/>
        <w:bidi w:val="0"/>
        <w:rPr>
          <w:rFonts w:hint="eastAsia"/>
          <w:lang w:val="en-US" w:eastAsia="zh-CN"/>
        </w:rPr>
      </w:pPr>
      <w:bookmarkStart w:id="51" w:name="_Toc32482"/>
      <w:r>
        <w:rPr>
          <w:rFonts w:hint="eastAsia"/>
          <w:lang w:val="en-US" w:eastAsia="zh-CN"/>
        </w:rPr>
        <w:t>可用性和连续性管理</w:t>
      </w:r>
      <w:bookmarkEnd w:id="51"/>
    </w:p>
    <w:p w14:paraId="03F7FE9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根据《服务可用性和连续性管理制度》，公司建立服务可用性和连续性管理流程，确保关键服务达到约定的可用性目标。</w:t>
      </w:r>
    </w:p>
    <w:p w14:paraId="514C19A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2026年可用性和连续性管理的主要工作：</w:t>
      </w:r>
    </w:p>
    <w:p w14:paraId="1D9F2117">
      <w:pPr>
        <w:pStyle w:val="32"/>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副总经理作为服务可用性和连续性管理负责人，统筹应急管理工作</w:t>
      </w:r>
    </w:p>
    <w:p w14:paraId="29F67E89">
      <w:pPr>
        <w:pStyle w:val="32"/>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运维部经理作为日常可用性管理负责人，负责服务可用性目标的制定和分解，日常可用性监控和分析</w:t>
      </w:r>
    </w:p>
    <w:p w14:paraId="5A4CCEF6">
      <w:pPr>
        <w:pStyle w:val="32"/>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通过监控工具7×24小时实时监测系统运行状态，当监控指标触发预警阈值时，监控系统自动发送告警</w:t>
      </w:r>
    </w:p>
    <w:p w14:paraId="350F9EE6">
      <w:pPr>
        <w:pStyle w:val="32"/>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针对2025年网络稳定性波动问题，加强网络监控，建立网络性能基线，每月输出网络质量分析报告</w:t>
      </w:r>
    </w:p>
    <w:p w14:paraId="6108E4F1">
      <w:pPr>
        <w:pStyle w:val="32"/>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定期组织应急演练，验证应急预案有效性</w:t>
      </w:r>
    </w:p>
    <w:p w14:paraId="3DA46C8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0AA8C89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服务可用性达标率：≥99%（年度）</w:t>
      </w:r>
    </w:p>
    <w:p w14:paraId="386D80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服务异常中断次数：≤2次（年度）</w:t>
      </w:r>
    </w:p>
    <w:p w14:paraId="1E251352">
      <w:pPr>
        <w:pStyle w:val="34"/>
        <w:bidi w:val="0"/>
        <w:rPr>
          <w:rFonts w:hint="eastAsia"/>
          <w:lang w:val="en-US" w:eastAsia="zh-CN"/>
        </w:rPr>
      </w:pPr>
      <w:bookmarkStart w:id="52" w:name="_Toc5733"/>
      <w:r>
        <w:rPr>
          <w:rFonts w:hint="eastAsia"/>
          <w:lang w:val="en-US" w:eastAsia="zh-CN"/>
        </w:rPr>
        <w:t>容量管理</w:t>
      </w:r>
      <w:bookmarkEnd w:id="52"/>
    </w:p>
    <w:p w14:paraId="443ECC6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根据《运维服务容量管理制度》，公司建立容量管理流程，确保IT基础设施和服务能力与业务需求相匹配。</w:t>
      </w:r>
    </w:p>
    <w:p w14:paraId="221318D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2026年容量管理的主要工作：</w:t>
      </w:r>
    </w:p>
    <w:p w14:paraId="57D27BDA">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容量管理范围涵盖计算资源（服务器、虚拟机）、存储资源、网络资源、数据库资源、应用系统、前端设备</w:t>
      </w:r>
    </w:p>
    <w:p w14:paraId="7E080199">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容量监控人员按照容量管理计划执行日常容量监控，关键容量指标包括CPU使用率、内存使用率、磁盘使用率等，较2025年适当收紧预警阈值</w:t>
      </w:r>
    </w:p>
    <w:p w14:paraId="78A741D1">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每月进行容量分析，识别容量趋势、瓶颈和潜在风险</w:t>
      </w:r>
    </w:p>
    <w:p w14:paraId="63748ADC">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容量调整通过变更管理流程执行</w:t>
      </w:r>
    </w:p>
    <w:p w14:paraId="0A75165A">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针对前端设备老化问题，每季度评估前端设备性能和使用年限，输出《前端设备健康度评估报告》，提出设备更新或升级建议</w:t>
      </w:r>
    </w:p>
    <w:p w14:paraId="2EF01919">
      <w:pPr>
        <w:pStyle w:val="32"/>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建立容量预测模型，基于历史数据对关键资源的容量趋势进行预测，提前识别容量风险</w:t>
      </w:r>
    </w:p>
    <w:p w14:paraId="450AF82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KPI指标：容量报告及时性 ≥95%（季度）</w:t>
      </w:r>
    </w:p>
    <w:p w14:paraId="2E9E23D3">
      <w:pPr>
        <w:pStyle w:val="34"/>
        <w:bidi w:val="0"/>
        <w:rPr>
          <w:rFonts w:hint="eastAsia"/>
          <w:lang w:val="en-US" w:eastAsia="zh-CN"/>
        </w:rPr>
      </w:pPr>
      <w:bookmarkStart w:id="53" w:name="_Toc29724"/>
      <w:r>
        <w:rPr>
          <w:rFonts w:hint="eastAsia"/>
          <w:lang w:val="en-US" w:eastAsia="zh-CN"/>
        </w:rPr>
        <w:t>信息安全管理</w:t>
      </w:r>
      <w:bookmarkEnd w:id="53"/>
    </w:p>
    <w:p w14:paraId="738CE0B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根据《运维服务信息安全管理制度》，公司建立信息安全管理流程，确保服务的安全性满足客户约定的级别。</w:t>
      </w:r>
    </w:p>
    <w:p w14:paraId="3F6E9CD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2026年信息安全管理的主要工作：</w:t>
      </w:r>
    </w:p>
    <w:p w14:paraId="6525D96C">
      <w:pPr>
        <w:pStyle w:val="32"/>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遵循公司“统一规划、分级管理、积极防范、人人有责”的安全方针</w:t>
      </w:r>
    </w:p>
    <w:p w14:paraId="2CED729F">
      <w:pPr>
        <w:pStyle w:val="32"/>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每年至少进行一次信息安全风险评估，识别信息资产、评估面临的威胁和脆弱性，确定风险等级</w:t>
      </w:r>
    </w:p>
    <w:p w14:paraId="0EA0A522">
      <w:pPr>
        <w:pStyle w:val="32"/>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制定《信息安全管理规范》，覆盖人员安全、访问控制、数据安全、系统安全、网络安全、物理安全、应急响应七类规范</w:t>
      </w:r>
    </w:p>
    <w:p w14:paraId="40C70B8C">
      <w:pPr>
        <w:pStyle w:val="32"/>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每半年组织一次安全培训，确保运维人员了解安全政策和操作规范，培训覆盖率和考核通过率均要求达到100%</w:t>
      </w:r>
    </w:p>
    <w:p w14:paraId="75D225DB">
      <w:pPr>
        <w:pStyle w:val="32"/>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基于2025年安全培训覆盖率100%、信息安全事故0次的良好基础，2026年继续保持高标准要求</w:t>
      </w:r>
    </w:p>
    <w:p w14:paraId="608F449F">
      <w:pPr>
        <w:pStyle w:val="32"/>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建立安全事件应急响应机制，明确安全事件的报告路径和处置流程</w:t>
      </w:r>
    </w:p>
    <w:p w14:paraId="3A3BD687">
      <w:pPr>
        <w:pStyle w:val="32"/>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针对2026年研发的新工具（自动化巡检工具、数据完整性校验工具），在上线前完成安全评估，确保工具本身的安全性</w:t>
      </w:r>
    </w:p>
    <w:p w14:paraId="2A25E62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26D1EE7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安全培训覆盖率：≥95%（年度）</w:t>
      </w:r>
    </w:p>
    <w:p w14:paraId="2C9A853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信息安全事故数量：≤1次（年度）</w:t>
      </w:r>
    </w:p>
    <w:p w14:paraId="2F13DC8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4" w:name="_Toc4834"/>
      <w:r>
        <w:rPr>
          <w:rFonts w:hint="eastAsia"/>
          <w:lang w:val="en-US" w:eastAsia="zh-CN"/>
        </w:rPr>
        <w:t>交付管理规划</w:t>
      </w:r>
      <w:bookmarkEnd w:id="54"/>
    </w:p>
    <w:p w14:paraId="53925FC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根据《运维服务交付管理制度》，公司采用PDCA循环管理模式，通过交付策划、交付实施、交付检查、交付改进四个核心环节，实现服务交付质量的闭环管控。</w:t>
      </w:r>
    </w:p>
    <w:p w14:paraId="71BDF0C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14:paraId="2F472E5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24765"/>
      <w:r>
        <w:rPr>
          <w:rFonts w:hint="eastAsia"/>
          <w:lang w:val="en-US" w:eastAsia="zh-CN"/>
        </w:rPr>
        <w:t>交付策划</w:t>
      </w:r>
      <w:bookmarkEnd w:id="55"/>
    </w:p>
    <w:p w14:paraId="7FC6204C">
      <w:pPr>
        <w:pStyle w:val="32"/>
        <w:numPr>
          <w:ilvl w:val="0"/>
          <w:numId w:val="24"/>
        </w:numPr>
        <w:ind w:left="425" w:leftChars="0" w:hanging="425" w:firstLineChars="0"/>
        <w:rPr>
          <w:rFonts w:hint="eastAsia"/>
          <w:lang w:val="en-US" w:eastAsia="zh-CN"/>
        </w:rPr>
      </w:pPr>
      <w:r>
        <w:rPr>
          <w:rFonts w:hint="eastAsia"/>
          <w:lang w:val="en-US" w:eastAsia="zh-CN"/>
        </w:rPr>
        <w:t>项目启动时与客户召开项目交底会，明确服务范围、SLA指标、沟通机制、应急联络方式，形成《项目交底会议纪要》</w:t>
      </w:r>
    </w:p>
    <w:p w14:paraId="1E84FF13">
      <w:pPr>
        <w:pStyle w:val="32"/>
        <w:numPr>
          <w:ilvl w:val="0"/>
          <w:numId w:val="24"/>
        </w:numPr>
        <w:ind w:left="425" w:leftChars="0" w:hanging="425" w:firstLineChars="0"/>
        <w:rPr>
          <w:rFonts w:hint="eastAsia"/>
          <w:lang w:val="en-US" w:eastAsia="zh-CN"/>
        </w:rPr>
      </w:pPr>
      <w:r>
        <w:rPr>
          <w:rFonts w:hint="eastAsia"/>
          <w:lang w:val="en-US" w:eastAsia="zh-CN"/>
        </w:rPr>
        <w:t>编制《项目服务总计划》和《运维服务交付计划》，明确里程碑节点、交付物、责任人及验收标准</w:t>
      </w:r>
    </w:p>
    <w:p w14:paraId="27CF9936">
      <w:pPr>
        <w:pStyle w:val="32"/>
        <w:numPr>
          <w:ilvl w:val="0"/>
          <w:numId w:val="24"/>
        </w:numPr>
        <w:ind w:left="425" w:leftChars="0" w:hanging="425" w:firstLineChars="0"/>
        <w:rPr>
          <w:rFonts w:hint="eastAsia"/>
          <w:lang w:val="en-US" w:eastAsia="zh-CN"/>
        </w:rPr>
      </w:pPr>
      <w:r>
        <w:rPr>
          <w:rFonts w:hint="eastAsia"/>
          <w:lang w:val="en-US" w:eastAsia="zh-CN"/>
        </w:rPr>
        <w:t>组建“一线、二线、三线”三级运维服务体系，明确各岗位职责</w:t>
      </w:r>
    </w:p>
    <w:p w14:paraId="7CB28FE5">
      <w:pPr>
        <w:pStyle w:val="32"/>
        <w:numPr>
          <w:ilvl w:val="0"/>
          <w:numId w:val="24"/>
        </w:numPr>
        <w:ind w:left="425" w:leftChars="0" w:hanging="425" w:firstLineChars="0"/>
        <w:rPr>
          <w:rFonts w:hint="eastAsia"/>
          <w:lang w:val="en-US" w:eastAsia="zh-CN"/>
        </w:rPr>
      </w:pPr>
      <w:r>
        <w:rPr>
          <w:rFonts w:hint="eastAsia"/>
          <w:lang w:val="en-US" w:eastAsia="zh-CN"/>
        </w:rPr>
        <w:t>开展全面风险评估，制定《风险管理计划》和专项应急预案</w:t>
      </w:r>
    </w:p>
    <w:p w14:paraId="71AEFEDE">
      <w:pPr>
        <w:pStyle w:val="32"/>
        <w:numPr>
          <w:ilvl w:val="0"/>
          <w:numId w:val="24"/>
        </w:numPr>
        <w:ind w:left="425" w:leftChars="0" w:hanging="425" w:firstLineChars="0"/>
        <w:rPr>
          <w:rFonts w:hint="eastAsia"/>
          <w:lang w:val="en-US" w:eastAsia="zh-CN"/>
        </w:rPr>
      </w:pPr>
      <w:r>
        <w:rPr>
          <w:rFonts w:hint="eastAsia"/>
          <w:lang w:val="en-US" w:eastAsia="zh-CN"/>
        </w:rPr>
        <w:t>针对企业门店ERP统一管理系统等重点项目，制定专项交付策划方案，重点关注前端设备运行状况和用户操作熟练度等2025年识别的问题</w:t>
      </w:r>
    </w:p>
    <w:p w14:paraId="0A232F95">
      <w:pPr>
        <w:pStyle w:val="32"/>
        <w:numPr>
          <w:ilvl w:val="0"/>
          <w:numId w:val="24"/>
        </w:numPr>
        <w:ind w:left="425" w:leftChars="0" w:hanging="425" w:firstLineChars="0"/>
        <w:rPr>
          <w:rFonts w:hint="eastAsia"/>
          <w:lang w:val="en-US" w:eastAsia="zh-CN"/>
        </w:rPr>
      </w:pPr>
      <w:r>
        <w:rPr>
          <w:rFonts w:hint="eastAsia"/>
          <w:lang w:val="en-US" w:eastAsia="zh-CN"/>
        </w:rPr>
        <w:t>在交付策划阶段，与客户协商确定设备更新评估机制和用户进阶培训计划</w:t>
      </w:r>
    </w:p>
    <w:p w14:paraId="15EE1E1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6" w:name="_Toc17111"/>
      <w:r>
        <w:rPr>
          <w:rFonts w:hint="eastAsia"/>
          <w:lang w:val="en-US" w:eastAsia="zh-CN"/>
        </w:rPr>
        <w:t>交付实施</w:t>
      </w:r>
      <w:bookmarkEnd w:id="56"/>
    </w:p>
    <w:p w14:paraId="45EF630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14:paraId="429AC9BD">
      <w:pPr>
        <w:pStyle w:val="32"/>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严格遵循服务计划及操作规范，通过工单系统统一受理、派发、处理所有服务请求</w:t>
      </w:r>
    </w:p>
    <w:p w14:paraId="60E2CC52">
      <w:pPr>
        <w:pStyle w:val="32"/>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建立SLA达成情况实时监控机制，每日统计服务响应时间、故障解决率等关键数据</w:t>
      </w:r>
    </w:p>
    <w:p w14:paraId="4C16644E">
      <w:pPr>
        <w:pStyle w:val="32"/>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严格执行故障处理流程，确保所有故障在规定时限内闭环</w:t>
      </w:r>
    </w:p>
    <w:p w14:paraId="1BB6A04B">
      <w:pPr>
        <w:pStyle w:val="32"/>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通过周报、月报、季报等形式，定期向客户及公司管理层同步项目进展、风险状况、服务成果</w:t>
      </w:r>
    </w:p>
    <w:p w14:paraId="342C8495">
      <w:pPr>
        <w:pStyle w:val="32"/>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针对2025年识别的前端设备老化问题，在交付实施过程中增加前端设备健康度巡检频次，从每季度一次调整为每月一次</w:t>
      </w:r>
    </w:p>
    <w:p w14:paraId="47CD34AF">
      <w:pPr>
        <w:pStyle w:val="32"/>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针对用户操作熟练度差异问题，在交付实施中增加用户操作辅导环节，对操作不熟练的用户提供一对一指导</w:t>
      </w:r>
    </w:p>
    <w:p w14:paraId="2394CD33">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7" w:name="_Toc6906"/>
      <w:r>
        <w:rPr>
          <w:rFonts w:hint="eastAsia"/>
          <w:lang w:val="en-US" w:eastAsia="zh-CN"/>
        </w:rPr>
        <w:t>交付检查</w:t>
      </w:r>
      <w:bookmarkEnd w:id="57"/>
    </w:p>
    <w:p w14:paraId="333210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14:paraId="4E455624">
      <w:pPr>
        <w:pStyle w:val="32"/>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运维项目经理每月组织项目自查，形成《自查报告》并自行整改，自查内容覆盖服务交付全流程</w:t>
      </w:r>
    </w:p>
    <w:p w14:paraId="4ADD1058">
      <w:pPr>
        <w:pStyle w:val="32"/>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产品质量部经理每季度对重点项目进行全覆盖抽查，填写《交付检查报告》，检查结果作为质量考核依据</w:t>
      </w:r>
    </w:p>
    <w:p w14:paraId="111E5BB1">
      <w:pPr>
        <w:pStyle w:val="32"/>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检查结果及时反馈并纳入问题整改台账跟踪闭环</w:t>
      </w:r>
    </w:p>
    <w:p w14:paraId="23CC0111">
      <w:pPr>
        <w:pStyle w:val="32"/>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针对检查中发现的共性问题，组织专项分析会议，制定系统性改进措施</w:t>
      </w:r>
    </w:p>
    <w:p w14:paraId="5C3347B3">
      <w:pPr>
        <w:pStyle w:val="32"/>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建立交付检查结果与绩效考核的联动机制，将交付质量纳入相关部门和人员的绩效考核指标</w:t>
      </w:r>
    </w:p>
    <w:p w14:paraId="6ED6226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8" w:name="_Toc13032"/>
      <w:r>
        <w:rPr>
          <w:rFonts w:hint="eastAsia"/>
          <w:lang w:val="en-US" w:eastAsia="zh-CN"/>
        </w:rPr>
        <w:t>交付改进</w:t>
      </w:r>
      <w:bookmarkEnd w:id="58"/>
    </w:p>
    <w:p w14:paraId="48A90C3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14:paraId="2D6952DB">
      <w:pPr>
        <w:pStyle w:val="32"/>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产品质量部牵头，针对检查报告和客户投诉，组织召开专题分析会，制定改进方案，明确整改措施、时限与责任人</w:t>
      </w:r>
    </w:p>
    <w:p w14:paraId="1761B37A">
      <w:pPr>
        <w:pStyle w:val="32"/>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定期组织服务复盘会议（每季度至少一次），总结经验教训，形成《服务改进报告》</w:t>
      </w:r>
    </w:p>
    <w:p w14:paraId="55EFF0CE">
      <w:pPr>
        <w:pStyle w:val="32"/>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将改进成果固化到服务流程、操作手册、知识库中</w:t>
      </w:r>
    </w:p>
    <w:p w14:paraId="01A48383">
      <w:pPr>
        <w:pStyle w:val="32"/>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针对2025年客户满意度调查中反馈的“部分运维人员沟通能力有待提升”问题，在2026年交付改进中纳入沟通技能培训内容</w:t>
      </w:r>
    </w:p>
    <w:p w14:paraId="4626C746">
      <w:pPr>
        <w:pStyle w:val="32"/>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建立改进效果验证机制，在改进措施实施后3个月内跟踪相关指标的改善情况，确保改进有效落地</w:t>
      </w:r>
    </w:p>
    <w:p w14:paraId="0D97C6C8">
      <w:pPr>
        <w:pStyle w:val="32"/>
        <w:bidi w:val="0"/>
        <w:rPr>
          <w:rFonts w:hint="eastAsia"/>
          <w:lang w:val="en-US" w:eastAsia="zh-CN"/>
        </w:rPr>
      </w:pPr>
      <w:r>
        <w:t>KPI指标</w:t>
      </w:r>
      <w:r>
        <w:rPr>
          <w:rFonts w:hint="default"/>
        </w:rPr>
        <w:t>：交付通过率 ≥96%（年度）</w:t>
      </w:r>
    </w:p>
    <w:p w14:paraId="5543357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9" w:name="_Toc30474"/>
      <w:r>
        <w:rPr>
          <w:rFonts w:hint="eastAsia"/>
          <w:lang w:val="en-US" w:eastAsia="zh-CN"/>
        </w:rPr>
        <w:t>应急管理规划</w:t>
      </w:r>
      <w:bookmarkEnd w:id="59"/>
    </w:p>
    <w:p w14:paraId="7BF1F0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根据《运维服务应急管理制度》，公司建立统一的应急响应管理体系，确保在突发事件发生时能够快速响应、有效处置。</w:t>
      </w:r>
    </w:p>
    <w:p w14:paraId="31C9237C">
      <w:pPr>
        <w:pStyle w:val="34"/>
        <w:bidi w:val="0"/>
        <w:rPr>
          <w:rFonts w:hint="eastAsia"/>
          <w:lang w:val="en-US" w:eastAsia="zh-CN"/>
        </w:rPr>
      </w:pPr>
      <w:bookmarkStart w:id="60" w:name="_Toc14"/>
      <w:r>
        <w:rPr>
          <w:rFonts w:hint="eastAsia"/>
          <w:lang w:val="en-US" w:eastAsia="zh-CN"/>
        </w:rPr>
        <w:t>应急组织</w:t>
      </w:r>
      <w:bookmarkEnd w:id="60"/>
    </w:p>
    <w:p w14:paraId="677D081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14:paraId="5076CC4A">
      <w:pPr>
        <w:pStyle w:val="32"/>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公司设立三级应急组织体系，包括应急领导小组（副总经理、运维部经理、研发部经理、产品质量部经理）、应急执行小组（运维项目经理、硬件/软件运维工程师、技术支持工程师）、应急支持小组（综合部经理、备件库专员、采购专员）</w:t>
      </w:r>
    </w:p>
    <w:p w14:paraId="5849DC48">
      <w:pPr>
        <w:pStyle w:val="32"/>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明确各应急岗位的职责分工和汇报关系，确保应急响应时职责清晰、指令畅通</w:t>
      </w:r>
    </w:p>
    <w:p w14:paraId="01A9ACF0">
      <w:pPr>
        <w:pStyle w:val="32"/>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每半年组织一次应急组织体系的适用性评估，根据人员变动和业务调整及时更新应急组织成员</w:t>
      </w:r>
    </w:p>
    <w:p w14:paraId="1D082478">
      <w:pPr>
        <w:pStyle w:val="32"/>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建立应急联系人通讯录，每季度核实更新一次，确保应急联络信息的准确性</w:t>
      </w:r>
    </w:p>
    <w:p w14:paraId="0A8B3BD0">
      <w:pPr>
        <w:pStyle w:val="34"/>
        <w:bidi w:val="0"/>
        <w:rPr>
          <w:rFonts w:hint="eastAsia"/>
          <w:lang w:val="en-US" w:eastAsia="zh-CN"/>
        </w:rPr>
      </w:pPr>
      <w:bookmarkStart w:id="61" w:name="_Toc14644"/>
      <w:r>
        <w:rPr>
          <w:rFonts w:hint="eastAsia"/>
          <w:lang w:val="en-US" w:eastAsia="zh-CN"/>
        </w:rPr>
        <w:t>应急预案</w:t>
      </w:r>
      <w:bookmarkEnd w:id="61"/>
    </w:p>
    <w:p w14:paraId="7041CB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14:paraId="724C17A5">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每个运维项目至少制定一份《应急预案》，涵盖项目核心系统，包括适用范围、应急组织架构及职责、风险场景及对应处置流程、联络方式、资源清单、恢复步骤、回退方案等</w:t>
      </w:r>
    </w:p>
    <w:p w14:paraId="4D0F8338">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应急预案由运维项目经理组织编写，经运维部经理审核、副总经理批准后发布执行</w:t>
      </w:r>
    </w:p>
    <w:p w14:paraId="09C6A26F">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每年至少评审一次应急预案，根据风险评估结果、演练总结、实际事件处置经验进行修订</w:t>
      </w:r>
    </w:p>
    <w:p w14:paraId="3AB99A64">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针对2025年应急演练中发现的问题（备用服务器配置差异、数据库恢复文档不详细、备用线路延迟偏高、备件领用流程耗时），在2026年应急预案修订中逐一落实改进</w:t>
      </w:r>
    </w:p>
    <w:p w14:paraId="595D770C">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增加针对前端设备批量故障、网络骨干中断等复杂场景的应急预案，提升应急准备的全面性</w:t>
      </w:r>
    </w:p>
    <w:p w14:paraId="68E0D168">
      <w:pPr>
        <w:pStyle w:val="32"/>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应急预案发布后，组织相关人员进行培训和宣贯，确保应急人员熟悉预案内容和自身职责</w:t>
      </w:r>
    </w:p>
    <w:p w14:paraId="2D64F2BE">
      <w:pPr>
        <w:pStyle w:val="34"/>
        <w:bidi w:val="0"/>
        <w:rPr>
          <w:rFonts w:hint="eastAsia"/>
          <w:lang w:val="en-US" w:eastAsia="zh-CN"/>
        </w:rPr>
      </w:pPr>
      <w:bookmarkStart w:id="62" w:name="_Toc21471"/>
      <w:r>
        <w:rPr>
          <w:rFonts w:hint="eastAsia"/>
          <w:lang w:val="en-US" w:eastAsia="zh-CN"/>
        </w:rPr>
        <w:t>应急响应</w:t>
      </w:r>
      <w:bookmarkEnd w:id="62"/>
    </w:p>
    <w:p w14:paraId="5E99C02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14:paraId="33EA0D8A">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应急响应流程分为监测与预警、先期处置、应急启动、应急处置、应急终止五个阶段</w:t>
      </w:r>
    </w:p>
    <w:p w14:paraId="6F547416">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一线工程师接到告警后应在15分钟内响应，若在30分钟内无法恢复或事件影响重大，应立即上报运维项目经理和副总经理</w:t>
      </w:r>
    </w:p>
    <w:p w14:paraId="28C972F2">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应急处置过程中，重大事件每30分钟向客户和管理层通报一次进展</w:t>
      </w:r>
    </w:p>
    <w:p w14:paraId="44DA361E">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建立应急响应分级机制，根据事件影响范围和紧急程度，启动不同级别的应急响应流程</w:t>
      </w:r>
    </w:p>
    <w:p w14:paraId="485FA8D8">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针对2025年备件领用流程耗时问题，优化紧急备件领用审批流程，建立常用备件预授权机制，将备件领用时间缩短30%</w:t>
      </w:r>
    </w:p>
    <w:p w14:paraId="4E65A742">
      <w:pPr>
        <w:pStyle w:val="32"/>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建立应急响应事后复盘机制，每次应急事件处置结束后7个工作日内完成复盘分析，形成《应急事件复盘报告》</w:t>
      </w:r>
    </w:p>
    <w:p w14:paraId="2E15C081">
      <w:pPr>
        <w:pStyle w:val="34"/>
        <w:bidi w:val="0"/>
        <w:rPr>
          <w:rFonts w:hint="eastAsia"/>
          <w:lang w:val="en-US" w:eastAsia="zh-CN"/>
        </w:rPr>
      </w:pPr>
      <w:bookmarkStart w:id="63" w:name="_Toc10614"/>
      <w:r>
        <w:rPr>
          <w:rFonts w:hint="eastAsia"/>
          <w:lang w:val="en-US" w:eastAsia="zh-CN"/>
        </w:rPr>
        <w:t>应急演练</w:t>
      </w:r>
      <w:bookmarkEnd w:id="63"/>
    </w:p>
    <w:p w14:paraId="1B9E80B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14:paraId="570047DF">
      <w:pPr>
        <w:pStyle w:val="32"/>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按时组织应急演练</w:t>
      </w:r>
    </w:p>
    <w:p w14:paraId="7E22641E">
      <w:pPr>
        <w:pStyle w:val="32"/>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演练前制定《应急演练计划》，明确演练目标、场景、参与人员、物资准备</w:t>
      </w:r>
    </w:p>
    <w:p w14:paraId="4C4995B4">
      <w:pPr>
        <w:pStyle w:val="32"/>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演练过程全程记录，演练后组织复盘，评估演练效果，形成《应急演练总结报告》</w:t>
      </w:r>
    </w:p>
    <w:p w14:paraId="0ADC9459">
      <w:pPr>
        <w:pStyle w:val="32"/>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2026年应急演练计划安排：</w:t>
      </w:r>
    </w:p>
    <w:p w14:paraId="49C60BD0">
      <w:pPr>
        <w:pStyle w:val="32"/>
        <w:keepNext w:val="0"/>
        <w:keepLines w:val="0"/>
        <w:pageBreakBefore w:val="0"/>
        <w:widowControl w:val="0"/>
        <w:numPr>
          <w:ilvl w:val="0"/>
          <w:numId w:val="32"/>
        </w:numPr>
        <w:kinsoku w:val="0"/>
        <w:wordWrap/>
        <w:overflowPunct/>
        <w:topLinePunct w:val="0"/>
        <w:autoSpaceDE w:val="0"/>
        <w:autoSpaceDN w:val="0"/>
        <w:bidi w:val="0"/>
        <w:adjustRightInd w:val="0"/>
        <w:snapToGrid w:val="0"/>
        <w:ind w:left="845" w:leftChars="0" w:hanging="425" w:firstLineChars="0"/>
        <w:textAlignment w:val="baseline"/>
        <w:rPr>
          <w:rFonts w:hint="eastAsia"/>
          <w:lang w:val="en-US" w:eastAsia="zh-CN"/>
        </w:rPr>
      </w:pPr>
      <w:r>
        <w:rPr>
          <w:rFonts w:hint="eastAsia"/>
          <w:lang w:val="en-US" w:eastAsia="zh-CN"/>
        </w:rPr>
        <w:t>2026年6月：组织一次综合实战演练，模拟服务器硬件故障+数据库损坏+网络中断的复合场景</w:t>
      </w:r>
    </w:p>
    <w:p w14:paraId="20AF00D1">
      <w:pPr>
        <w:pStyle w:val="32"/>
        <w:keepNext w:val="0"/>
        <w:keepLines w:val="0"/>
        <w:pageBreakBefore w:val="0"/>
        <w:widowControl w:val="0"/>
        <w:numPr>
          <w:ilvl w:val="0"/>
          <w:numId w:val="32"/>
        </w:numPr>
        <w:kinsoku w:val="0"/>
        <w:wordWrap/>
        <w:overflowPunct/>
        <w:topLinePunct w:val="0"/>
        <w:autoSpaceDE w:val="0"/>
        <w:autoSpaceDN w:val="0"/>
        <w:bidi w:val="0"/>
        <w:adjustRightInd w:val="0"/>
        <w:snapToGrid w:val="0"/>
        <w:ind w:left="845" w:leftChars="0" w:hanging="425" w:firstLineChars="0"/>
        <w:textAlignment w:val="baseline"/>
        <w:rPr>
          <w:rFonts w:hint="eastAsia"/>
          <w:lang w:val="en-US" w:eastAsia="zh-CN"/>
        </w:rPr>
      </w:pPr>
      <w:r>
        <w:rPr>
          <w:rFonts w:hint="eastAsia"/>
          <w:lang w:val="en-US" w:eastAsia="zh-CN"/>
        </w:rPr>
        <w:t>2026年12月：组织一次专项桌面推演，模拟前端设备批量故障场景</w:t>
      </w:r>
    </w:p>
    <w:p w14:paraId="573C2741">
      <w:pPr>
        <w:pStyle w:val="32"/>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针对2025年演练中发现的问题，在2026年演练中重点验证改进措施的落实情况，包括主备配置一致性、数据库恢复文档可用性、备用线路性能、备件领用效率等</w:t>
      </w:r>
    </w:p>
    <w:p w14:paraId="7B0412F8">
      <w:pPr>
        <w:pStyle w:val="32"/>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邀请客户代表参与应急演练，增强客户对应急响应能力的了解和信任</w:t>
      </w:r>
    </w:p>
    <w:p w14:paraId="79283C1E">
      <w:pPr>
        <w:pStyle w:val="32"/>
        <w:bidi w:val="0"/>
        <w:rPr>
          <w:rFonts w:hint="eastAsia"/>
          <w:lang w:val="en-US" w:eastAsia="zh-CN"/>
        </w:rPr>
      </w:pPr>
      <w:r>
        <w:rPr>
          <w:rFonts w:hint="eastAsia"/>
          <w:lang w:val="en-US" w:eastAsia="zh-CN"/>
        </w:rPr>
        <w:t>KPI指标：</w:t>
      </w:r>
    </w:p>
    <w:p w14:paraId="7E595675">
      <w:pPr>
        <w:pStyle w:val="32"/>
        <w:bidi w:val="0"/>
        <w:rPr>
          <w:rFonts w:hint="eastAsia"/>
          <w:lang w:val="en-US" w:eastAsia="zh-CN"/>
        </w:rPr>
      </w:pPr>
      <w:r>
        <w:t>应急演练次数：≥</w:t>
      </w:r>
      <w:r>
        <w:rPr>
          <w:rFonts w:hint="eastAsia"/>
          <w:lang w:val="en-US" w:eastAsia="zh-CN"/>
        </w:rPr>
        <w:t>1</w:t>
      </w:r>
      <w:r>
        <w:t>次（年度）</w:t>
      </w:r>
    </w:p>
    <w:p w14:paraId="52208D61">
      <w:pPr>
        <w:pStyle w:val="31"/>
        <w:bidi w:val="0"/>
        <w:rPr>
          <w:rFonts w:hint="eastAsia"/>
          <w:lang w:val="en-US" w:eastAsia="zh-CN"/>
        </w:rPr>
      </w:pPr>
      <w:bookmarkStart w:id="64" w:name="_Toc4120"/>
      <w:bookmarkStart w:id="65" w:name="_Toc25800"/>
      <w:r>
        <w:rPr>
          <w:rFonts w:hint="eastAsia"/>
          <w:lang w:val="en-US" w:eastAsia="zh-CN"/>
        </w:rPr>
        <w:t>质量管理</w:t>
      </w:r>
      <w:bookmarkEnd w:id="64"/>
    </w:p>
    <w:p w14:paraId="3DEBE9AA">
      <w:pPr>
        <w:pStyle w:val="33"/>
        <w:bidi w:val="0"/>
        <w:rPr>
          <w:rFonts w:hint="eastAsia"/>
          <w:lang w:val="en-US" w:eastAsia="zh-CN"/>
        </w:rPr>
      </w:pPr>
      <w:bookmarkStart w:id="66" w:name="_Toc23917"/>
      <w:r>
        <w:rPr>
          <w:rFonts w:hint="eastAsia"/>
          <w:lang w:val="en-US" w:eastAsia="zh-CN"/>
        </w:rPr>
        <w:t>质量管理计划</w:t>
      </w:r>
      <w:bookmarkEnd w:id="65"/>
      <w:bookmarkEnd w:id="66"/>
    </w:p>
    <w:p w14:paraId="310AE033">
      <w:pPr>
        <w:pStyle w:val="34"/>
        <w:bidi w:val="0"/>
        <w:rPr>
          <w:rFonts w:hint="eastAsia"/>
          <w:lang w:val="en-US" w:eastAsia="zh-CN"/>
        </w:rPr>
      </w:pPr>
      <w:bookmarkStart w:id="67" w:name="_Toc2926"/>
      <w:bookmarkStart w:id="68" w:name="_Toc2194"/>
      <w:r>
        <w:rPr>
          <w:rFonts w:hint="eastAsia"/>
          <w:lang w:val="en-US" w:eastAsia="zh-CN"/>
        </w:rPr>
        <w:t>质量管理计划制定</w:t>
      </w:r>
      <w:bookmarkEnd w:id="67"/>
      <w:bookmarkEnd w:id="68"/>
    </w:p>
    <w:p w14:paraId="46D240D3">
      <w:pPr>
        <w:pStyle w:val="32"/>
        <w:bidi w:val="0"/>
        <w:rPr>
          <w:rFonts w:hint="eastAsia" w:eastAsia="宋体"/>
          <w:lang w:val="en-US" w:eastAsia="zh-CN"/>
        </w:rPr>
      </w:pPr>
      <w:r>
        <w:rPr>
          <w:rFonts w:hint="eastAsia" w:eastAsia="宋体"/>
          <w:lang w:val="en-US" w:eastAsia="zh-CN"/>
        </w:rPr>
        <w:t>产品质量部于2026年1月制定本年度《2026年度运维服务质量管理计划》，合理规划运维服务各阶段服务活动的范围、时间等指标，确保与服务计划相一致。</w:t>
      </w:r>
    </w:p>
    <w:p w14:paraId="5D266DC9">
      <w:pPr>
        <w:pStyle w:val="32"/>
        <w:bidi w:val="0"/>
        <w:rPr>
          <w:rFonts w:hint="eastAsia" w:eastAsia="宋体"/>
          <w:lang w:val="en-US" w:eastAsia="zh-CN"/>
        </w:rPr>
      </w:pPr>
      <w:r>
        <w:rPr>
          <w:rFonts w:hint="eastAsia" w:eastAsia="宋体"/>
          <w:lang w:val="en-US" w:eastAsia="zh-CN"/>
        </w:rPr>
        <w:t>《2026年度运维服务质量管理计划》包括以下内容：</w:t>
      </w:r>
    </w:p>
    <w:p w14:paraId="6D04563B">
      <w:pPr>
        <w:pStyle w:val="32"/>
        <w:numPr>
          <w:ilvl w:val="0"/>
          <w:numId w:val="33"/>
        </w:numPr>
        <w:bidi w:val="0"/>
        <w:ind w:left="425" w:leftChars="0" w:hanging="425" w:firstLineChars="0"/>
        <w:rPr>
          <w:rFonts w:hint="eastAsia" w:eastAsia="宋体"/>
          <w:lang w:val="en-US" w:eastAsia="zh-CN"/>
        </w:rPr>
      </w:pPr>
      <w:r>
        <w:rPr>
          <w:rFonts w:hint="eastAsia" w:eastAsia="宋体"/>
          <w:lang w:val="en-US" w:eastAsia="zh-CN"/>
        </w:rPr>
        <w:t>明确质量管理的目的、范围及质量管理计划与其他服务计划的关系</w:t>
      </w:r>
    </w:p>
    <w:p w14:paraId="47382D99">
      <w:pPr>
        <w:pStyle w:val="32"/>
        <w:numPr>
          <w:ilvl w:val="0"/>
          <w:numId w:val="33"/>
        </w:numPr>
        <w:bidi w:val="0"/>
        <w:ind w:left="425" w:leftChars="0" w:hanging="425" w:firstLineChars="0"/>
        <w:rPr>
          <w:rFonts w:hint="eastAsia" w:eastAsia="宋体"/>
          <w:lang w:val="en-US" w:eastAsia="zh-CN"/>
        </w:rPr>
      </w:pPr>
      <w:r>
        <w:rPr>
          <w:rFonts w:hint="eastAsia" w:eastAsia="宋体"/>
          <w:lang w:val="en-US" w:eastAsia="zh-CN"/>
        </w:rPr>
        <w:t>描述质量管理的组织、权限和责任</w:t>
      </w:r>
    </w:p>
    <w:p w14:paraId="7D946863">
      <w:pPr>
        <w:pStyle w:val="32"/>
        <w:numPr>
          <w:ilvl w:val="0"/>
          <w:numId w:val="33"/>
        </w:numPr>
        <w:bidi w:val="0"/>
        <w:ind w:left="425" w:leftChars="0" w:hanging="425" w:firstLineChars="0"/>
        <w:rPr>
          <w:rFonts w:hint="eastAsia" w:eastAsia="宋体"/>
          <w:lang w:val="en-US" w:eastAsia="zh-CN"/>
        </w:rPr>
      </w:pPr>
      <w:r>
        <w:rPr>
          <w:rFonts w:hint="eastAsia" w:eastAsia="宋体"/>
          <w:lang w:val="en-US" w:eastAsia="zh-CN"/>
        </w:rPr>
        <w:t>明确要对哪些过程和服务进行质量检查审计</w:t>
      </w:r>
    </w:p>
    <w:p w14:paraId="5417652E">
      <w:pPr>
        <w:pStyle w:val="32"/>
        <w:numPr>
          <w:ilvl w:val="0"/>
          <w:numId w:val="33"/>
        </w:numPr>
        <w:bidi w:val="0"/>
        <w:ind w:left="425" w:leftChars="0" w:hanging="425" w:firstLineChars="0"/>
        <w:rPr>
          <w:rFonts w:hint="eastAsia" w:eastAsia="宋体"/>
          <w:lang w:val="en-US" w:eastAsia="zh-CN"/>
        </w:rPr>
      </w:pPr>
      <w:r>
        <w:rPr>
          <w:rFonts w:hint="eastAsia" w:eastAsia="宋体"/>
          <w:lang w:val="en-US" w:eastAsia="zh-CN"/>
        </w:rPr>
        <w:t>确定产品质量部如何对服务过程和服务的符合性进行验证</w:t>
      </w:r>
    </w:p>
    <w:p w14:paraId="4A618783">
      <w:pPr>
        <w:pStyle w:val="32"/>
        <w:numPr>
          <w:ilvl w:val="0"/>
          <w:numId w:val="33"/>
        </w:numPr>
        <w:bidi w:val="0"/>
        <w:ind w:left="425" w:leftChars="0" w:hanging="425" w:firstLineChars="0"/>
        <w:rPr>
          <w:rFonts w:hint="eastAsia" w:eastAsia="宋体"/>
          <w:lang w:val="en-US" w:eastAsia="zh-CN"/>
        </w:rPr>
      </w:pPr>
      <w:r>
        <w:rPr>
          <w:rFonts w:hint="eastAsia" w:eastAsia="宋体"/>
          <w:lang w:val="en-US" w:eastAsia="zh-CN"/>
        </w:rPr>
        <w:t>质量检查的时间安排和频次</w:t>
      </w:r>
    </w:p>
    <w:p w14:paraId="097CE45A">
      <w:pPr>
        <w:pStyle w:val="32"/>
        <w:numPr>
          <w:ilvl w:val="0"/>
          <w:numId w:val="33"/>
        </w:numPr>
        <w:bidi w:val="0"/>
        <w:ind w:left="425" w:leftChars="0" w:hanging="425" w:firstLineChars="0"/>
        <w:rPr>
          <w:rFonts w:hint="eastAsia" w:eastAsia="宋体"/>
          <w:lang w:val="en-US" w:eastAsia="zh-CN"/>
        </w:rPr>
      </w:pPr>
      <w:r>
        <w:rPr>
          <w:rFonts w:hint="eastAsia" w:eastAsia="宋体"/>
          <w:lang w:val="en-US" w:eastAsia="zh-CN"/>
        </w:rPr>
        <w:t>质量培训计划</w:t>
      </w:r>
    </w:p>
    <w:p w14:paraId="57EE12A6">
      <w:pPr>
        <w:pStyle w:val="32"/>
        <w:numPr>
          <w:ilvl w:val="0"/>
          <w:numId w:val="33"/>
        </w:numPr>
        <w:bidi w:val="0"/>
        <w:ind w:left="425" w:leftChars="0" w:hanging="425" w:firstLineChars="0"/>
        <w:rPr>
          <w:rFonts w:hint="eastAsia" w:eastAsia="宋体"/>
          <w:lang w:val="en-US" w:eastAsia="zh-CN"/>
        </w:rPr>
      </w:pPr>
      <w:r>
        <w:rPr>
          <w:rFonts w:hint="eastAsia" w:eastAsia="宋体"/>
          <w:lang w:val="en-US" w:eastAsia="zh-CN"/>
        </w:rPr>
        <w:t>质量目标及KPI指标</w:t>
      </w:r>
    </w:p>
    <w:p w14:paraId="070C562E">
      <w:pPr>
        <w:pStyle w:val="34"/>
        <w:bidi w:val="0"/>
        <w:rPr>
          <w:rFonts w:hint="eastAsia"/>
          <w:lang w:val="en-US" w:eastAsia="zh-CN"/>
        </w:rPr>
      </w:pPr>
      <w:bookmarkStart w:id="69" w:name="_Toc28852"/>
      <w:bookmarkStart w:id="70" w:name="_Toc12892"/>
      <w:r>
        <w:rPr>
          <w:rFonts w:hint="eastAsia"/>
          <w:lang w:val="en-US" w:eastAsia="zh-CN"/>
        </w:rPr>
        <w:t>质量管理计划评审</w:t>
      </w:r>
      <w:bookmarkEnd w:id="69"/>
      <w:bookmarkEnd w:id="70"/>
    </w:p>
    <w:p w14:paraId="37B6FE53">
      <w:pPr>
        <w:pStyle w:val="32"/>
        <w:bidi w:val="0"/>
        <w:rPr>
          <w:rFonts w:hint="eastAsia" w:eastAsia="宋体"/>
          <w:lang w:val="en-US" w:eastAsia="zh-CN"/>
        </w:rPr>
      </w:pPr>
      <w:r>
        <w:rPr>
          <w:rFonts w:hint="eastAsia" w:eastAsia="宋体"/>
          <w:lang w:val="en-US" w:eastAsia="zh-CN"/>
        </w:rPr>
        <w:t>《2026年度运维服务质量管理计划》编制完成后，提交管理层进行内部评审。评审通过后，按该质量管理计划进行全年质量管理工作。评审意见和结论应形成记录并归档。</w:t>
      </w:r>
    </w:p>
    <w:p w14:paraId="5ABF2BC4">
      <w:pPr>
        <w:pStyle w:val="33"/>
        <w:bidi w:val="0"/>
        <w:rPr>
          <w:rFonts w:hint="eastAsia"/>
          <w:lang w:val="en-US" w:eastAsia="zh-CN"/>
        </w:rPr>
      </w:pPr>
      <w:bookmarkStart w:id="71" w:name="_Toc4593"/>
      <w:bookmarkStart w:id="72" w:name="_Toc26498"/>
      <w:r>
        <w:rPr>
          <w:rFonts w:hint="eastAsia"/>
          <w:lang w:val="en-US" w:eastAsia="zh-CN"/>
        </w:rPr>
        <w:t>运维服务质量检查</w:t>
      </w:r>
      <w:bookmarkEnd w:id="71"/>
      <w:bookmarkEnd w:id="72"/>
    </w:p>
    <w:p w14:paraId="3793C8C6">
      <w:pPr>
        <w:pStyle w:val="32"/>
        <w:bidi w:val="0"/>
        <w:rPr>
          <w:rFonts w:hint="eastAsia" w:eastAsia="宋体"/>
          <w:lang w:val="en-US" w:eastAsia="zh-CN"/>
        </w:rPr>
      </w:pPr>
      <w:r>
        <w:rPr>
          <w:rFonts w:hint="eastAsia" w:eastAsia="宋体"/>
          <w:lang w:val="en-US" w:eastAsia="zh-CN"/>
        </w:rPr>
        <w:t>运维服务质量检查分为组织级质量检查和项目级质量检查两种形式。</w:t>
      </w:r>
    </w:p>
    <w:p w14:paraId="60071F20">
      <w:pPr>
        <w:pStyle w:val="32"/>
        <w:numPr>
          <w:ilvl w:val="0"/>
          <w:numId w:val="34"/>
        </w:numPr>
        <w:bidi w:val="0"/>
        <w:ind w:left="425" w:leftChars="0" w:hanging="425" w:firstLineChars="0"/>
        <w:rPr>
          <w:rFonts w:hint="eastAsia" w:eastAsia="宋体"/>
          <w:lang w:val="en-US" w:eastAsia="zh-CN"/>
        </w:rPr>
      </w:pPr>
      <w:r>
        <w:rPr>
          <w:rFonts w:hint="eastAsia" w:eastAsia="宋体"/>
          <w:lang w:val="en-US" w:eastAsia="zh-CN"/>
        </w:rPr>
        <w:t>组织级质量检查：</w:t>
      </w:r>
    </w:p>
    <w:p w14:paraId="489BD705">
      <w:pPr>
        <w:pStyle w:val="32"/>
        <w:numPr>
          <w:ilvl w:val="0"/>
          <w:numId w:val="0"/>
        </w:numPr>
        <w:bidi w:val="0"/>
        <w:ind w:left="420" w:leftChars="0"/>
        <w:rPr>
          <w:rFonts w:hint="eastAsia" w:eastAsia="宋体"/>
          <w:lang w:val="en-US" w:eastAsia="zh-CN"/>
        </w:rPr>
      </w:pPr>
      <w:r>
        <w:rPr>
          <w:rFonts w:hint="eastAsia" w:eastAsia="宋体"/>
          <w:lang w:val="en-US" w:eastAsia="zh-CN"/>
        </w:rPr>
        <w:t>产品质量部每季度对组织级的运维服务质量进行审计，主要对运维服务内容和服务过程进行检查，内容包括：</w:t>
      </w:r>
    </w:p>
    <w:p w14:paraId="6E26754C">
      <w:pPr>
        <w:pStyle w:val="32"/>
        <w:numPr>
          <w:ilvl w:val="0"/>
          <w:numId w:val="35"/>
        </w:numPr>
        <w:bidi w:val="0"/>
        <w:ind w:left="845" w:leftChars="0" w:hanging="425" w:firstLineChars="0"/>
        <w:rPr>
          <w:rFonts w:hint="eastAsia" w:eastAsia="宋体"/>
          <w:lang w:val="en-US" w:eastAsia="zh-CN"/>
        </w:rPr>
      </w:pPr>
      <w:r>
        <w:rPr>
          <w:rFonts w:hint="eastAsia" w:eastAsia="宋体"/>
          <w:lang w:val="en-US" w:eastAsia="zh-CN"/>
        </w:rPr>
        <w:t>检查能力计划执行情况和指标体系中各指标项的达成情况</w:t>
      </w:r>
    </w:p>
    <w:p w14:paraId="2E3D8D99">
      <w:pPr>
        <w:pStyle w:val="32"/>
        <w:numPr>
          <w:ilvl w:val="0"/>
          <w:numId w:val="35"/>
        </w:numPr>
        <w:bidi w:val="0"/>
        <w:ind w:left="845" w:leftChars="0" w:hanging="425" w:firstLineChars="0"/>
        <w:rPr>
          <w:rFonts w:hint="eastAsia" w:eastAsia="宋体"/>
          <w:lang w:val="en-US" w:eastAsia="zh-CN"/>
        </w:rPr>
      </w:pPr>
      <w:r>
        <w:rPr>
          <w:rFonts w:hint="eastAsia" w:eastAsia="宋体"/>
          <w:lang w:val="en-US" w:eastAsia="zh-CN"/>
        </w:rPr>
        <w:t>检查和审计各类汇报和报告的质量和及时性</w:t>
      </w:r>
    </w:p>
    <w:p w14:paraId="02BDBF28">
      <w:pPr>
        <w:pStyle w:val="32"/>
        <w:numPr>
          <w:ilvl w:val="0"/>
          <w:numId w:val="35"/>
        </w:numPr>
        <w:bidi w:val="0"/>
        <w:ind w:left="845" w:leftChars="0" w:hanging="425" w:firstLineChars="0"/>
        <w:rPr>
          <w:rFonts w:hint="eastAsia" w:eastAsia="宋体"/>
          <w:lang w:val="en-US" w:eastAsia="zh-CN"/>
        </w:rPr>
      </w:pPr>
      <w:r>
        <w:rPr>
          <w:rFonts w:hint="eastAsia" w:eastAsia="宋体"/>
          <w:lang w:val="en-US" w:eastAsia="zh-CN"/>
        </w:rPr>
        <w:t>检查各过程管理制度的执行情况</w:t>
      </w:r>
    </w:p>
    <w:p w14:paraId="5F3EF725">
      <w:pPr>
        <w:pStyle w:val="32"/>
        <w:numPr>
          <w:ilvl w:val="0"/>
          <w:numId w:val="35"/>
        </w:numPr>
        <w:bidi w:val="0"/>
        <w:ind w:left="845" w:leftChars="0" w:hanging="425" w:firstLineChars="0"/>
        <w:rPr>
          <w:rFonts w:hint="eastAsia" w:eastAsia="宋体"/>
          <w:lang w:val="en-US" w:eastAsia="zh-CN"/>
        </w:rPr>
      </w:pPr>
      <w:r>
        <w:rPr>
          <w:rFonts w:hint="eastAsia" w:eastAsia="宋体"/>
          <w:lang w:val="en-US" w:eastAsia="zh-CN"/>
        </w:rPr>
        <w:t>检查服务交付物的完整性</w:t>
      </w:r>
    </w:p>
    <w:p w14:paraId="286D59D1">
      <w:pPr>
        <w:pStyle w:val="32"/>
        <w:numPr>
          <w:ilvl w:val="0"/>
          <w:numId w:val="34"/>
        </w:numPr>
        <w:bidi w:val="0"/>
        <w:ind w:left="425" w:leftChars="0" w:hanging="425" w:firstLineChars="0"/>
        <w:rPr>
          <w:rFonts w:hint="eastAsia" w:eastAsia="宋体"/>
          <w:lang w:val="en-US" w:eastAsia="zh-CN"/>
        </w:rPr>
      </w:pPr>
      <w:r>
        <w:rPr>
          <w:rFonts w:hint="eastAsia" w:eastAsia="宋体"/>
          <w:lang w:val="en-US" w:eastAsia="zh-CN"/>
        </w:rPr>
        <w:t>项目级质量检查：</w:t>
      </w:r>
    </w:p>
    <w:p w14:paraId="60AAA3F5">
      <w:pPr>
        <w:pStyle w:val="32"/>
        <w:bidi w:val="0"/>
        <w:rPr>
          <w:rFonts w:hint="eastAsia" w:eastAsia="宋体"/>
          <w:lang w:val="en-US" w:eastAsia="zh-CN"/>
        </w:rPr>
      </w:pPr>
      <w:r>
        <w:rPr>
          <w:rFonts w:hint="eastAsia" w:eastAsia="宋体"/>
          <w:lang w:val="en-US" w:eastAsia="zh-CN"/>
        </w:rPr>
        <w:t>产品质量部依据质量管理计划和质量检查表，定期对项目活动和工作产品进行检查，内容包括：</w:t>
      </w:r>
    </w:p>
    <w:p w14:paraId="50415C05">
      <w:pPr>
        <w:pStyle w:val="32"/>
        <w:numPr>
          <w:ilvl w:val="0"/>
          <w:numId w:val="36"/>
        </w:numPr>
        <w:bidi w:val="0"/>
        <w:ind w:left="845" w:leftChars="0" w:hanging="425" w:firstLineChars="0"/>
        <w:rPr>
          <w:rFonts w:hint="eastAsia" w:eastAsia="宋体"/>
          <w:lang w:val="en-US" w:eastAsia="zh-CN"/>
        </w:rPr>
      </w:pPr>
      <w:r>
        <w:rPr>
          <w:rFonts w:hint="eastAsia" w:eastAsia="宋体"/>
          <w:lang w:val="en-US" w:eastAsia="zh-CN"/>
        </w:rPr>
        <w:t>审计各项目组是否按照已建立的运维服务管理体系进行相关项目活动</w:t>
      </w:r>
    </w:p>
    <w:p w14:paraId="652D170C">
      <w:pPr>
        <w:pStyle w:val="32"/>
        <w:numPr>
          <w:ilvl w:val="0"/>
          <w:numId w:val="36"/>
        </w:numPr>
        <w:bidi w:val="0"/>
        <w:ind w:left="845" w:leftChars="0" w:hanging="425" w:firstLineChars="0"/>
        <w:rPr>
          <w:rFonts w:hint="eastAsia" w:eastAsia="宋体"/>
          <w:lang w:val="en-US" w:eastAsia="zh-CN"/>
        </w:rPr>
      </w:pPr>
      <w:r>
        <w:rPr>
          <w:rFonts w:hint="eastAsia" w:eastAsia="宋体"/>
          <w:lang w:val="en-US" w:eastAsia="zh-CN"/>
        </w:rPr>
        <w:t>保证项目交付物符合相应的要求和标准</w:t>
      </w:r>
    </w:p>
    <w:p w14:paraId="3620150B">
      <w:pPr>
        <w:pStyle w:val="32"/>
        <w:numPr>
          <w:ilvl w:val="0"/>
          <w:numId w:val="36"/>
        </w:numPr>
        <w:bidi w:val="0"/>
        <w:ind w:left="845" w:leftChars="0" w:hanging="425" w:firstLineChars="0"/>
        <w:rPr>
          <w:rFonts w:hint="eastAsia" w:eastAsia="宋体"/>
          <w:lang w:val="en-US" w:eastAsia="zh-CN"/>
        </w:rPr>
      </w:pPr>
      <w:r>
        <w:rPr>
          <w:rFonts w:hint="eastAsia" w:eastAsia="宋体"/>
          <w:lang w:val="en-US" w:eastAsia="zh-CN"/>
        </w:rPr>
        <w:t>审计项目中各类汇报和报告的质量和及时性</w:t>
      </w:r>
    </w:p>
    <w:p w14:paraId="7DA1F781">
      <w:pPr>
        <w:pStyle w:val="32"/>
        <w:numPr>
          <w:ilvl w:val="0"/>
          <w:numId w:val="36"/>
        </w:numPr>
        <w:bidi w:val="0"/>
        <w:ind w:left="845" w:leftChars="0" w:hanging="425" w:firstLineChars="0"/>
        <w:rPr>
          <w:rFonts w:hint="eastAsia" w:eastAsia="宋体"/>
          <w:lang w:val="en-US" w:eastAsia="zh-CN"/>
        </w:rPr>
      </w:pPr>
      <w:r>
        <w:rPr>
          <w:rFonts w:hint="eastAsia" w:eastAsia="宋体"/>
          <w:lang w:val="en-US" w:eastAsia="zh-CN"/>
        </w:rPr>
        <w:t>记录检查发现的问题，并与相关人员进行沟通解决</w:t>
      </w:r>
    </w:p>
    <w:p w14:paraId="5050BF36">
      <w:pPr>
        <w:pStyle w:val="32"/>
        <w:bidi w:val="0"/>
        <w:jc w:val="center"/>
        <w:rPr>
          <w:rFonts w:hint="eastAsia" w:eastAsia="宋体"/>
          <w:lang w:val="en-US" w:eastAsia="zh-CN"/>
        </w:rPr>
      </w:pPr>
      <w:r>
        <w:rPr>
          <w:rFonts w:hint="eastAsia" w:eastAsia="宋体"/>
          <w:lang w:val="en-US" w:eastAsia="zh-CN"/>
        </w:rPr>
        <w:t>2026年度质量检查安排表</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10"/>
        <w:gridCol w:w="1077"/>
        <w:gridCol w:w="1660"/>
        <w:gridCol w:w="3186"/>
        <w:gridCol w:w="1389"/>
      </w:tblGrid>
      <w:tr w14:paraId="02D022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210"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218ADD2">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检查类型</w:t>
            </w:r>
          </w:p>
        </w:tc>
        <w:tc>
          <w:tcPr>
            <w:tcW w:w="107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637490D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检查频次</w:t>
            </w:r>
          </w:p>
        </w:tc>
        <w:tc>
          <w:tcPr>
            <w:tcW w:w="1660"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AA9486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检查时间</w:t>
            </w:r>
          </w:p>
        </w:tc>
        <w:tc>
          <w:tcPr>
            <w:tcW w:w="3186"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616024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检查重点</w:t>
            </w:r>
          </w:p>
        </w:tc>
        <w:tc>
          <w:tcPr>
            <w:tcW w:w="138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3F65F88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输出物</w:t>
            </w:r>
          </w:p>
        </w:tc>
      </w:tr>
      <w:tr w14:paraId="5CE1F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0"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3BE77CB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组织级质量检查</w:t>
            </w:r>
          </w:p>
        </w:tc>
        <w:tc>
          <w:tcPr>
            <w:tcW w:w="107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311743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每季度1次</w:t>
            </w:r>
          </w:p>
        </w:tc>
        <w:tc>
          <w:tcPr>
            <w:tcW w:w="166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0F1410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3月、6月、9月、12月</w:t>
            </w:r>
          </w:p>
        </w:tc>
        <w:tc>
          <w:tcPr>
            <w:tcW w:w="318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E44216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能力计划执行、KPI达成、过程执行、交付物完整性</w:t>
            </w:r>
          </w:p>
        </w:tc>
        <w:tc>
          <w:tcPr>
            <w:tcW w:w="138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7F9264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《质量检查报告》</w:t>
            </w:r>
          </w:p>
        </w:tc>
      </w:tr>
      <w:tr w14:paraId="1D008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0"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EC3001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项目级质量检查</w:t>
            </w:r>
          </w:p>
        </w:tc>
        <w:tc>
          <w:tcPr>
            <w:tcW w:w="107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9DCCF8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每月1次</w:t>
            </w:r>
          </w:p>
        </w:tc>
        <w:tc>
          <w:tcPr>
            <w:tcW w:w="166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9A9377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每月末</w:t>
            </w:r>
          </w:p>
        </w:tc>
        <w:tc>
          <w:tcPr>
            <w:tcW w:w="318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0EDF3E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项目活动合规性、交付物质量、报告质量</w:t>
            </w:r>
          </w:p>
        </w:tc>
        <w:tc>
          <w:tcPr>
            <w:tcW w:w="138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423304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《质量检查记录表》</w:t>
            </w:r>
          </w:p>
        </w:tc>
      </w:tr>
      <w:tr w14:paraId="2102DD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0"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2A031A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重点项目专项检查</w:t>
            </w:r>
          </w:p>
        </w:tc>
        <w:tc>
          <w:tcPr>
            <w:tcW w:w="107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D3263E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按需</w:t>
            </w:r>
          </w:p>
        </w:tc>
        <w:tc>
          <w:tcPr>
            <w:tcW w:w="166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53EFA8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项目关键节点</w:t>
            </w:r>
          </w:p>
        </w:tc>
        <w:tc>
          <w:tcPr>
            <w:tcW w:w="318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7845FE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企业门店ERP统一管理系统等</w:t>
            </w:r>
          </w:p>
        </w:tc>
        <w:tc>
          <w:tcPr>
            <w:tcW w:w="138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07391D2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《专项检查报告》</w:t>
            </w:r>
          </w:p>
        </w:tc>
      </w:tr>
    </w:tbl>
    <w:p w14:paraId="4AFA3A69">
      <w:pPr>
        <w:pStyle w:val="32"/>
        <w:bidi w:val="0"/>
        <w:rPr>
          <w:rFonts w:hint="eastAsia" w:eastAsia="宋体"/>
          <w:lang w:val="en-US" w:eastAsia="zh-CN"/>
        </w:rPr>
      </w:pPr>
      <w:r>
        <w:rPr>
          <w:rFonts w:hint="eastAsia" w:eastAsia="宋体"/>
          <w:lang w:val="en-US" w:eastAsia="zh-CN"/>
        </w:rPr>
        <w:t>质量检查应秉持公平公正的原则，检查结果应记录在《质量检查记录表》中，作为改进的依据。</w:t>
      </w:r>
    </w:p>
    <w:p w14:paraId="58533DFF">
      <w:pPr>
        <w:pStyle w:val="33"/>
        <w:bidi w:val="0"/>
        <w:rPr>
          <w:rFonts w:hint="eastAsia"/>
          <w:lang w:val="en-US" w:eastAsia="zh-CN"/>
        </w:rPr>
      </w:pPr>
      <w:bookmarkStart w:id="73" w:name="_Toc14443"/>
      <w:bookmarkStart w:id="74" w:name="_Toc132"/>
      <w:r>
        <w:rPr>
          <w:rFonts w:hint="eastAsia"/>
          <w:lang w:val="en-US" w:eastAsia="zh-CN"/>
        </w:rPr>
        <w:t>客户满意度调查</w:t>
      </w:r>
      <w:bookmarkEnd w:id="73"/>
      <w:bookmarkEnd w:id="74"/>
    </w:p>
    <w:p w14:paraId="5B2D363B">
      <w:pPr>
        <w:pStyle w:val="32"/>
        <w:bidi w:val="0"/>
        <w:rPr>
          <w:rFonts w:hint="eastAsia" w:eastAsia="宋体"/>
          <w:lang w:val="en-US" w:eastAsia="zh-CN"/>
        </w:rPr>
      </w:pPr>
      <w:r>
        <w:rPr>
          <w:rFonts w:hint="eastAsia" w:eastAsia="宋体"/>
          <w:lang w:val="en-US" w:eastAsia="zh-CN"/>
        </w:rPr>
        <w:t>客户满意度调查工作由运维部、产品质量部共同完成：</w:t>
      </w:r>
    </w:p>
    <w:p w14:paraId="68EA7303">
      <w:pPr>
        <w:pStyle w:val="32"/>
        <w:numPr>
          <w:ilvl w:val="0"/>
          <w:numId w:val="37"/>
        </w:numPr>
        <w:bidi w:val="0"/>
        <w:ind w:left="425" w:leftChars="0" w:hanging="425" w:firstLineChars="0"/>
        <w:rPr>
          <w:rFonts w:hint="eastAsia" w:eastAsia="宋体"/>
          <w:lang w:val="en-US" w:eastAsia="zh-CN"/>
        </w:rPr>
      </w:pPr>
      <w:r>
        <w:rPr>
          <w:rFonts w:hint="eastAsia" w:eastAsia="宋体"/>
          <w:lang w:val="en-US" w:eastAsia="zh-CN"/>
        </w:rPr>
        <w:t>事件解决满意度回访：由运维部服务台负责，对已解决的事件进行电话回访，确认运维服务人员是否成功解决问题，了解客户对处理结果的满意度。回访应在事件解决后3个工作日内完成。</w:t>
      </w:r>
    </w:p>
    <w:p w14:paraId="2285026B">
      <w:pPr>
        <w:pStyle w:val="32"/>
        <w:numPr>
          <w:ilvl w:val="0"/>
          <w:numId w:val="37"/>
        </w:numPr>
        <w:bidi w:val="0"/>
        <w:ind w:left="425" w:leftChars="0" w:hanging="425" w:firstLineChars="0"/>
        <w:rPr>
          <w:rFonts w:hint="eastAsia" w:eastAsia="宋体"/>
          <w:lang w:val="en-US" w:eastAsia="zh-CN"/>
        </w:rPr>
      </w:pPr>
      <w:r>
        <w:rPr>
          <w:rFonts w:hint="eastAsia" w:eastAsia="宋体"/>
          <w:lang w:val="en-US" w:eastAsia="zh-CN"/>
        </w:rPr>
        <w:t>组织级客户满意度调查：由产品质量部负责，2026年11月至少进行一次，采用问卷填写方式。调查内容必须与SLA（或服务合同）内容相一致，注意调查样本的比例及覆盖范围，以降低抽样的风险。</w:t>
      </w:r>
    </w:p>
    <w:p w14:paraId="0DAFC427">
      <w:pPr>
        <w:pStyle w:val="32"/>
        <w:numPr>
          <w:ilvl w:val="0"/>
          <w:numId w:val="37"/>
        </w:numPr>
        <w:bidi w:val="0"/>
        <w:ind w:left="425" w:leftChars="0" w:hanging="425" w:firstLineChars="0"/>
        <w:rPr>
          <w:rFonts w:hint="eastAsia" w:eastAsia="宋体"/>
          <w:lang w:val="en-US" w:eastAsia="zh-CN"/>
        </w:rPr>
      </w:pPr>
      <w:r>
        <w:rPr>
          <w:rFonts w:hint="eastAsia" w:eastAsia="宋体"/>
          <w:lang w:val="en-US" w:eastAsia="zh-CN"/>
        </w:rPr>
        <w:t>项目级满意度调查：由运维部项目经理负责，在项目验收后对运维服务人员的工作满意度进行调查，用以不断改进运维服务过程。</w:t>
      </w:r>
    </w:p>
    <w:p w14:paraId="07248D5D">
      <w:pPr>
        <w:pStyle w:val="32"/>
        <w:bidi w:val="0"/>
        <w:jc w:val="center"/>
        <w:rPr>
          <w:rFonts w:hint="eastAsia" w:eastAsia="宋体"/>
          <w:lang w:val="en-US" w:eastAsia="zh-CN"/>
        </w:rPr>
      </w:pPr>
      <w:r>
        <w:rPr>
          <w:rFonts w:hint="eastAsia" w:eastAsia="宋体"/>
          <w:lang w:val="en-US" w:eastAsia="zh-CN"/>
        </w:rPr>
        <w:t>2026年度满意度调查安排表</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0"/>
        <w:gridCol w:w="1159"/>
        <w:gridCol w:w="2259"/>
        <w:gridCol w:w="1788"/>
        <w:gridCol w:w="1346"/>
      </w:tblGrid>
      <w:tr w14:paraId="4F83AB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97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8F5F56F">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调查类型</w:t>
            </w:r>
          </w:p>
        </w:tc>
        <w:tc>
          <w:tcPr>
            <w:tcW w:w="115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3C897B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调查方式</w:t>
            </w:r>
          </w:p>
        </w:tc>
        <w:tc>
          <w:tcPr>
            <w:tcW w:w="225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95FF36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调查时间</w:t>
            </w:r>
          </w:p>
        </w:tc>
        <w:tc>
          <w:tcPr>
            <w:tcW w:w="178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14109B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调查对象</w:t>
            </w:r>
          </w:p>
        </w:tc>
        <w:tc>
          <w:tcPr>
            <w:tcW w:w="1346"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1122B8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责任部门</w:t>
            </w:r>
          </w:p>
        </w:tc>
      </w:tr>
      <w:tr w14:paraId="1F23E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E12F10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组织级客户满意度调查</w:t>
            </w:r>
          </w:p>
        </w:tc>
        <w:tc>
          <w:tcPr>
            <w:tcW w:w="11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0F6C33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问卷调查</w:t>
            </w:r>
          </w:p>
        </w:tc>
        <w:tc>
          <w:tcPr>
            <w:tcW w:w="22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DE12F9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2026年11月</w:t>
            </w:r>
          </w:p>
        </w:tc>
        <w:tc>
          <w:tcPr>
            <w:tcW w:w="178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4BFC1C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所有运维服务客户</w:t>
            </w:r>
          </w:p>
        </w:tc>
        <w:tc>
          <w:tcPr>
            <w:tcW w:w="134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E35880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w:t>
            </w:r>
          </w:p>
        </w:tc>
      </w:tr>
      <w:tr w14:paraId="59944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42CC31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事件解决满意度回访</w:t>
            </w:r>
          </w:p>
        </w:tc>
        <w:tc>
          <w:tcPr>
            <w:tcW w:w="11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55B9E8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电话回访</w:t>
            </w:r>
          </w:p>
        </w:tc>
        <w:tc>
          <w:tcPr>
            <w:tcW w:w="22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1DFB6D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事件解决后3个工作日内</w:t>
            </w:r>
          </w:p>
        </w:tc>
        <w:tc>
          <w:tcPr>
            <w:tcW w:w="178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E73CDA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事件申报人</w:t>
            </w:r>
          </w:p>
        </w:tc>
        <w:tc>
          <w:tcPr>
            <w:tcW w:w="134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F9D838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服务台</w:t>
            </w:r>
          </w:p>
        </w:tc>
      </w:tr>
      <w:tr w14:paraId="01057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862C28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投诉处理满意度回访</w:t>
            </w:r>
          </w:p>
        </w:tc>
        <w:tc>
          <w:tcPr>
            <w:tcW w:w="11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DCF04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电话回访</w:t>
            </w:r>
          </w:p>
        </w:tc>
        <w:tc>
          <w:tcPr>
            <w:tcW w:w="22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8ADEE9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投诉处理后</w:t>
            </w:r>
          </w:p>
        </w:tc>
        <w:tc>
          <w:tcPr>
            <w:tcW w:w="178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DE47E3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投诉人</w:t>
            </w:r>
          </w:p>
        </w:tc>
        <w:tc>
          <w:tcPr>
            <w:tcW w:w="134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E80D2F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服务台</w:t>
            </w:r>
          </w:p>
        </w:tc>
      </w:tr>
      <w:tr w14:paraId="63693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4F9D9E0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项目级满意度调查</w:t>
            </w:r>
          </w:p>
        </w:tc>
        <w:tc>
          <w:tcPr>
            <w:tcW w:w="115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68857A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走访/电访</w:t>
            </w:r>
          </w:p>
        </w:tc>
        <w:tc>
          <w:tcPr>
            <w:tcW w:w="225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E27996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项目关键节点或结束后</w:t>
            </w:r>
          </w:p>
        </w:tc>
        <w:tc>
          <w:tcPr>
            <w:tcW w:w="178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1B25B5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项目客户</w:t>
            </w:r>
          </w:p>
        </w:tc>
        <w:tc>
          <w:tcPr>
            <w:tcW w:w="1346"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132F51A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r>
    </w:tbl>
    <w:p w14:paraId="503F6AEA">
      <w:pPr>
        <w:pStyle w:val="32"/>
        <w:bidi w:val="0"/>
        <w:rPr>
          <w:rFonts w:hint="eastAsia" w:eastAsia="宋体"/>
          <w:lang w:val="en-US" w:eastAsia="zh-CN"/>
        </w:rPr>
      </w:pPr>
      <w:r>
        <w:rPr>
          <w:rFonts w:hint="eastAsia" w:eastAsia="宋体"/>
          <w:lang w:val="en-US" w:eastAsia="zh-CN"/>
        </w:rPr>
        <w:t>具体调查流程详见《满意度管理制度》。</w:t>
      </w:r>
    </w:p>
    <w:p w14:paraId="224107BB">
      <w:pPr>
        <w:pStyle w:val="33"/>
        <w:bidi w:val="0"/>
        <w:rPr>
          <w:rFonts w:hint="eastAsia"/>
          <w:lang w:val="en-US" w:eastAsia="zh-CN"/>
        </w:rPr>
      </w:pPr>
      <w:bookmarkStart w:id="75" w:name="_Toc11657"/>
      <w:bookmarkStart w:id="76" w:name="_Toc7396"/>
      <w:r>
        <w:rPr>
          <w:rFonts w:hint="eastAsia"/>
          <w:lang w:val="en-US" w:eastAsia="zh-CN"/>
        </w:rPr>
        <w:t>内审和管理评审</w:t>
      </w:r>
      <w:bookmarkEnd w:id="75"/>
      <w:bookmarkEnd w:id="76"/>
    </w:p>
    <w:p w14:paraId="7A8825CA">
      <w:pPr>
        <w:pStyle w:val="32"/>
        <w:bidi w:val="0"/>
        <w:rPr>
          <w:rFonts w:hint="eastAsia" w:eastAsia="宋体"/>
          <w:lang w:val="en-US" w:eastAsia="zh-CN"/>
        </w:rPr>
      </w:pPr>
      <w:r>
        <w:rPr>
          <w:rFonts w:hint="eastAsia" w:eastAsia="宋体"/>
          <w:lang w:val="en-US" w:eastAsia="zh-CN"/>
        </w:rPr>
        <w:t>产品质量部于2026年10月组织一次运维服务管理体系的内部审核工作，于2026年11月组织一次管理评审工作，确保公司运维服务能力的适宜性和有效性。</w:t>
      </w:r>
    </w:p>
    <w:p w14:paraId="132140E5">
      <w:pPr>
        <w:pStyle w:val="32"/>
        <w:numPr>
          <w:ilvl w:val="0"/>
          <w:numId w:val="38"/>
        </w:numPr>
        <w:bidi w:val="0"/>
        <w:ind w:left="425" w:leftChars="0" w:hanging="425" w:firstLineChars="0"/>
        <w:rPr>
          <w:rFonts w:hint="eastAsia" w:eastAsia="宋体"/>
          <w:lang w:val="en-US" w:eastAsia="zh-CN"/>
        </w:rPr>
      </w:pPr>
      <w:r>
        <w:rPr>
          <w:rFonts w:hint="eastAsia" w:eastAsia="宋体"/>
          <w:lang w:val="en-US" w:eastAsia="zh-CN"/>
        </w:rPr>
        <w:t>内部审核：</w:t>
      </w:r>
    </w:p>
    <w:p w14:paraId="1254B8A6">
      <w:pPr>
        <w:pStyle w:val="32"/>
        <w:numPr>
          <w:ilvl w:val="0"/>
          <w:numId w:val="0"/>
        </w:numPr>
        <w:bidi w:val="0"/>
        <w:ind w:leftChars="0"/>
        <w:rPr>
          <w:rFonts w:hint="eastAsia" w:eastAsia="宋体"/>
          <w:lang w:val="en-US" w:eastAsia="zh-CN"/>
        </w:rPr>
      </w:pPr>
      <w:r>
        <w:rPr>
          <w:rFonts w:hint="eastAsia" w:eastAsia="宋体"/>
          <w:lang w:val="en-US" w:eastAsia="zh-CN"/>
        </w:rPr>
        <w:t>检查运维服务管理活动及其结果是否符合ITSS标准及公司相关制度要求，为体系的持续改进提供依据。审核范围覆盖人员、资源、技术、过程、交付、应急六大能力域。</w:t>
      </w:r>
    </w:p>
    <w:p w14:paraId="7D4765B6">
      <w:pPr>
        <w:pStyle w:val="32"/>
        <w:numPr>
          <w:ilvl w:val="0"/>
          <w:numId w:val="38"/>
        </w:numPr>
        <w:bidi w:val="0"/>
        <w:ind w:left="425" w:leftChars="0" w:hanging="425" w:firstLineChars="0"/>
        <w:rPr>
          <w:rFonts w:hint="eastAsia" w:eastAsia="宋体"/>
          <w:lang w:val="en-US" w:eastAsia="zh-CN"/>
        </w:rPr>
      </w:pPr>
      <w:r>
        <w:rPr>
          <w:rFonts w:hint="eastAsia" w:eastAsia="宋体"/>
          <w:lang w:val="en-US" w:eastAsia="zh-CN"/>
        </w:rPr>
        <w:t>管理评审：</w:t>
      </w:r>
    </w:p>
    <w:p w14:paraId="058ADB05">
      <w:pPr>
        <w:pStyle w:val="32"/>
        <w:numPr>
          <w:ilvl w:val="0"/>
          <w:numId w:val="0"/>
        </w:numPr>
        <w:bidi w:val="0"/>
        <w:ind w:leftChars="0"/>
        <w:rPr>
          <w:rFonts w:hint="eastAsia" w:eastAsia="宋体"/>
          <w:lang w:val="en-US" w:eastAsia="zh-CN"/>
        </w:rPr>
      </w:pPr>
      <w:r>
        <w:rPr>
          <w:rFonts w:hint="eastAsia" w:eastAsia="宋体"/>
          <w:lang w:val="en-US" w:eastAsia="zh-CN"/>
        </w:rPr>
        <w:t>对体系的适宜性、充分性和有效性进行评审，确保体系持续满足客户需求和业务发展要求。</w:t>
      </w:r>
    </w:p>
    <w:p w14:paraId="288ADB23">
      <w:pPr>
        <w:pStyle w:val="32"/>
        <w:bidi w:val="0"/>
        <w:rPr>
          <w:rFonts w:hint="eastAsia" w:eastAsia="宋体"/>
          <w:lang w:val="en-US" w:eastAsia="zh-CN"/>
        </w:rPr>
      </w:pPr>
      <w:r>
        <w:rPr>
          <w:rFonts w:hint="eastAsia" w:eastAsia="宋体"/>
          <w:lang w:val="en-US" w:eastAsia="zh-CN"/>
        </w:rPr>
        <w:t>具体流程详见《内审管理制度》和《管理评审管理制度》。</w:t>
      </w:r>
    </w:p>
    <w:p w14:paraId="784F5AEE">
      <w:pPr>
        <w:pStyle w:val="33"/>
        <w:bidi w:val="0"/>
        <w:rPr>
          <w:rFonts w:hint="eastAsia"/>
          <w:lang w:val="en-US" w:eastAsia="zh-CN"/>
        </w:rPr>
      </w:pPr>
      <w:bookmarkStart w:id="77" w:name="_Toc6702"/>
      <w:bookmarkStart w:id="78" w:name="_Toc17487"/>
      <w:r>
        <w:rPr>
          <w:rFonts w:hint="eastAsia"/>
          <w:lang w:val="en-US" w:eastAsia="zh-CN"/>
        </w:rPr>
        <w:t>改进项处理</w:t>
      </w:r>
      <w:bookmarkEnd w:id="77"/>
      <w:bookmarkEnd w:id="78"/>
    </w:p>
    <w:p w14:paraId="59174E92">
      <w:pPr>
        <w:pStyle w:val="32"/>
        <w:bidi w:val="0"/>
        <w:rPr>
          <w:rFonts w:hint="eastAsia" w:eastAsia="宋体"/>
          <w:lang w:val="en-US" w:eastAsia="zh-CN"/>
        </w:rPr>
      </w:pPr>
      <w:r>
        <w:rPr>
          <w:rFonts w:hint="eastAsia" w:eastAsia="宋体"/>
          <w:lang w:val="en-US" w:eastAsia="zh-CN"/>
        </w:rPr>
        <w:t>针对以下来源发现的未达标项，产品质量部应及时组织相关人员对问题进行根本原因分析，并制定纠正措施：</w:t>
      </w:r>
    </w:p>
    <w:p w14:paraId="0CDCA712">
      <w:pPr>
        <w:pStyle w:val="32"/>
        <w:numPr>
          <w:ilvl w:val="0"/>
          <w:numId w:val="39"/>
        </w:numPr>
        <w:bidi w:val="0"/>
        <w:ind w:left="425" w:leftChars="0" w:hanging="425" w:firstLineChars="0"/>
        <w:rPr>
          <w:rFonts w:hint="eastAsia" w:eastAsia="宋体"/>
          <w:lang w:val="en-US" w:eastAsia="zh-CN"/>
        </w:rPr>
      </w:pPr>
      <w:r>
        <w:rPr>
          <w:rFonts w:hint="eastAsia" w:eastAsia="宋体"/>
          <w:lang w:val="en-US" w:eastAsia="zh-CN"/>
        </w:rPr>
        <w:t>质量检查中发现的问题</w:t>
      </w:r>
    </w:p>
    <w:p w14:paraId="4C463D73">
      <w:pPr>
        <w:pStyle w:val="32"/>
        <w:numPr>
          <w:ilvl w:val="0"/>
          <w:numId w:val="39"/>
        </w:numPr>
        <w:bidi w:val="0"/>
        <w:ind w:left="425" w:leftChars="0" w:hanging="425" w:firstLineChars="0"/>
        <w:rPr>
          <w:rFonts w:hint="eastAsia" w:eastAsia="宋体"/>
          <w:lang w:val="en-US" w:eastAsia="zh-CN"/>
        </w:rPr>
      </w:pPr>
      <w:r>
        <w:rPr>
          <w:rFonts w:hint="eastAsia" w:eastAsia="宋体"/>
          <w:lang w:val="en-US" w:eastAsia="zh-CN"/>
        </w:rPr>
        <w:t>内审中发现的不符合项</w:t>
      </w:r>
    </w:p>
    <w:p w14:paraId="13315F28">
      <w:pPr>
        <w:pStyle w:val="32"/>
        <w:numPr>
          <w:ilvl w:val="0"/>
          <w:numId w:val="39"/>
        </w:numPr>
        <w:bidi w:val="0"/>
        <w:ind w:left="425" w:leftChars="0" w:hanging="425" w:firstLineChars="0"/>
        <w:rPr>
          <w:rFonts w:hint="eastAsia" w:eastAsia="宋体"/>
          <w:lang w:val="en-US" w:eastAsia="zh-CN"/>
        </w:rPr>
      </w:pPr>
      <w:r>
        <w:rPr>
          <w:rFonts w:hint="eastAsia" w:eastAsia="宋体"/>
          <w:lang w:val="en-US" w:eastAsia="zh-CN"/>
        </w:rPr>
        <w:t>客户满意度调查中的低分项</w:t>
      </w:r>
    </w:p>
    <w:p w14:paraId="0CE60657">
      <w:pPr>
        <w:pStyle w:val="32"/>
        <w:numPr>
          <w:ilvl w:val="0"/>
          <w:numId w:val="39"/>
        </w:numPr>
        <w:bidi w:val="0"/>
        <w:ind w:left="425" w:leftChars="0" w:hanging="425" w:firstLineChars="0"/>
        <w:rPr>
          <w:rFonts w:hint="eastAsia" w:eastAsia="宋体"/>
          <w:lang w:val="en-US" w:eastAsia="zh-CN"/>
        </w:rPr>
      </w:pPr>
      <w:r>
        <w:rPr>
          <w:rFonts w:hint="eastAsia" w:eastAsia="宋体"/>
          <w:lang w:val="en-US" w:eastAsia="zh-CN"/>
        </w:rPr>
        <w:t>客户投诉</w:t>
      </w:r>
    </w:p>
    <w:p w14:paraId="76926D5A">
      <w:pPr>
        <w:pStyle w:val="32"/>
        <w:numPr>
          <w:ilvl w:val="0"/>
          <w:numId w:val="39"/>
        </w:numPr>
        <w:bidi w:val="0"/>
        <w:ind w:left="425" w:leftChars="0" w:hanging="425" w:firstLineChars="0"/>
        <w:rPr>
          <w:rFonts w:hint="eastAsia" w:eastAsia="宋体"/>
          <w:lang w:val="en-US" w:eastAsia="zh-CN"/>
        </w:rPr>
      </w:pPr>
      <w:r>
        <w:rPr>
          <w:rFonts w:hint="eastAsia" w:eastAsia="宋体"/>
          <w:lang w:val="en-US" w:eastAsia="zh-CN"/>
        </w:rPr>
        <w:t>过程指标未达成项</w:t>
      </w:r>
    </w:p>
    <w:p w14:paraId="12266C22">
      <w:pPr>
        <w:pStyle w:val="32"/>
        <w:bidi w:val="0"/>
        <w:rPr>
          <w:rFonts w:hint="eastAsia" w:eastAsia="宋体"/>
          <w:lang w:val="en-US" w:eastAsia="zh-CN"/>
        </w:rPr>
      </w:pPr>
      <w:r>
        <w:rPr>
          <w:rFonts w:hint="eastAsia" w:eastAsia="宋体"/>
          <w:lang w:val="en-US" w:eastAsia="zh-CN"/>
        </w:rPr>
        <w:t>改进措施应包括：问题描述、根本原因分析、改进措施、责任人、计划完成时间、预期效果。产品质量部需对改进项进行跟踪记录，直至关闭为止。</w:t>
      </w:r>
    </w:p>
    <w:p w14:paraId="486DD7D9">
      <w:pPr>
        <w:pStyle w:val="32"/>
        <w:bidi w:val="0"/>
        <w:jc w:val="center"/>
        <w:rPr>
          <w:rFonts w:hint="eastAsia" w:eastAsia="宋体"/>
          <w:lang w:val="en-US" w:eastAsia="zh-CN"/>
        </w:rPr>
      </w:pPr>
      <w:r>
        <w:rPr>
          <w:rFonts w:hint="eastAsia" w:eastAsia="宋体"/>
          <w:lang w:val="en-US" w:eastAsia="zh-CN"/>
        </w:rPr>
        <w:t>2026年度重点改进事项</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2"/>
        <w:gridCol w:w="1832"/>
        <w:gridCol w:w="3607"/>
        <w:gridCol w:w="1138"/>
        <w:gridCol w:w="1323"/>
      </w:tblGrid>
      <w:tr w14:paraId="2DECC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622"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012F5166">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1832"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7432F3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问题</w:t>
            </w:r>
          </w:p>
        </w:tc>
        <w:tc>
          <w:tcPr>
            <w:tcW w:w="360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E657A7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改进措施</w:t>
            </w:r>
          </w:p>
        </w:tc>
        <w:tc>
          <w:tcPr>
            <w:tcW w:w="113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3F8723E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责任人</w:t>
            </w:r>
          </w:p>
        </w:tc>
        <w:tc>
          <w:tcPr>
            <w:tcW w:w="1323"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9BDBEA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计划完成时间</w:t>
            </w:r>
          </w:p>
        </w:tc>
      </w:tr>
      <w:tr w14:paraId="412F5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236B0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83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CA90DE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数据完整性偶有不达标</w:t>
            </w:r>
          </w:p>
        </w:tc>
        <w:tc>
          <w:tcPr>
            <w:tcW w:w="360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B7C3AA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持续完善数据录入规范，定期开展数据完整性检查</w:t>
            </w:r>
          </w:p>
        </w:tc>
        <w:tc>
          <w:tcPr>
            <w:tcW w:w="11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AA4D2E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c>
          <w:tcPr>
            <w:tcW w:w="13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7EB463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2026年Q1</w:t>
            </w:r>
          </w:p>
        </w:tc>
      </w:tr>
      <w:tr w14:paraId="4066B6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BB7DBC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183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159C66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前端设备老化</w:t>
            </w:r>
          </w:p>
        </w:tc>
        <w:tc>
          <w:tcPr>
            <w:tcW w:w="360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AF4CD7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评估设备更新需求，增加备件储备</w:t>
            </w:r>
          </w:p>
        </w:tc>
        <w:tc>
          <w:tcPr>
            <w:tcW w:w="11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43643E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硬件负责人</w:t>
            </w:r>
          </w:p>
        </w:tc>
        <w:tc>
          <w:tcPr>
            <w:tcW w:w="13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13D603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2026年Q1</w:t>
            </w:r>
          </w:p>
        </w:tc>
      </w:tr>
      <w:tr w14:paraId="0A9FEC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2"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3E3E467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w:t>
            </w:r>
          </w:p>
        </w:tc>
        <w:tc>
          <w:tcPr>
            <w:tcW w:w="1832"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7209B7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用户操作熟练度差异</w:t>
            </w:r>
          </w:p>
        </w:tc>
        <w:tc>
          <w:tcPr>
            <w:tcW w:w="360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155CD8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组织进阶操作培训，优化操作手册</w:t>
            </w:r>
          </w:p>
        </w:tc>
        <w:tc>
          <w:tcPr>
            <w:tcW w:w="113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7B45B6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培训负责人</w:t>
            </w:r>
          </w:p>
        </w:tc>
        <w:tc>
          <w:tcPr>
            <w:tcW w:w="1323"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A27CB2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2026年Q1</w:t>
            </w:r>
          </w:p>
        </w:tc>
      </w:tr>
    </w:tbl>
    <w:p w14:paraId="12E9D5A6">
      <w:pPr>
        <w:pStyle w:val="32"/>
        <w:bidi w:val="0"/>
        <w:rPr>
          <w:rFonts w:hint="eastAsia" w:eastAsia="宋体"/>
          <w:lang w:val="en-US" w:eastAsia="zh-CN"/>
        </w:rPr>
      </w:pPr>
      <w:r>
        <w:rPr>
          <w:rFonts w:hint="eastAsia" w:eastAsia="宋体"/>
          <w:lang w:val="en-US" w:eastAsia="zh-CN"/>
        </w:rPr>
        <w:t>具体流程详见《改进管理制度》。</w:t>
      </w:r>
    </w:p>
    <w:p w14:paraId="2D720D99">
      <w:pPr>
        <w:pStyle w:val="33"/>
        <w:bidi w:val="0"/>
        <w:rPr>
          <w:rFonts w:hint="eastAsia"/>
          <w:lang w:val="en-US" w:eastAsia="zh-CN"/>
        </w:rPr>
      </w:pPr>
      <w:bookmarkStart w:id="79" w:name="_Toc64"/>
      <w:bookmarkStart w:id="80" w:name="_Toc8019"/>
      <w:r>
        <w:rPr>
          <w:rFonts w:hint="eastAsia"/>
          <w:lang w:val="en-US" w:eastAsia="zh-CN"/>
        </w:rPr>
        <w:t>质量培训</w:t>
      </w:r>
      <w:bookmarkEnd w:id="79"/>
      <w:bookmarkEnd w:id="80"/>
    </w:p>
    <w:p w14:paraId="505BAD9B">
      <w:pPr>
        <w:pStyle w:val="32"/>
        <w:bidi w:val="0"/>
        <w:rPr>
          <w:rFonts w:hint="eastAsia" w:eastAsia="宋体"/>
          <w:lang w:val="en-US" w:eastAsia="zh-CN"/>
        </w:rPr>
      </w:pPr>
      <w:r>
        <w:rPr>
          <w:rFonts w:hint="eastAsia" w:eastAsia="宋体"/>
          <w:lang w:val="en-US" w:eastAsia="zh-CN"/>
        </w:rPr>
        <w:t>产品质量部定期安排质量相关内容培训，增强运维服务相关人员的质量意识：</w:t>
      </w:r>
    </w:p>
    <w:p w14:paraId="2B1C75AF">
      <w:pPr>
        <w:pStyle w:val="32"/>
        <w:numPr>
          <w:ilvl w:val="0"/>
          <w:numId w:val="40"/>
        </w:numPr>
        <w:bidi w:val="0"/>
        <w:ind w:left="425" w:leftChars="0" w:hanging="425" w:firstLineChars="0"/>
        <w:rPr>
          <w:rFonts w:hint="eastAsia" w:eastAsia="宋体"/>
          <w:lang w:val="en-US" w:eastAsia="zh-CN"/>
        </w:rPr>
      </w:pPr>
      <w:r>
        <w:rPr>
          <w:rFonts w:hint="eastAsia" w:eastAsia="宋体"/>
          <w:lang w:val="en-US" w:eastAsia="zh-CN"/>
        </w:rPr>
        <w:t>新员工培训：入职培训中纳入质量管理制度和质量方针内容</w:t>
      </w:r>
    </w:p>
    <w:p w14:paraId="22202C18">
      <w:pPr>
        <w:pStyle w:val="32"/>
        <w:numPr>
          <w:ilvl w:val="0"/>
          <w:numId w:val="40"/>
        </w:numPr>
        <w:bidi w:val="0"/>
        <w:ind w:left="425" w:leftChars="0" w:hanging="425" w:firstLineChars="0"/>
        <w:rPr>
          <w:rFonts w:hint="eastAsia" w:eastAsia="宋体"/>
          <w:lang w:val="en-US" w:eastAsia="zh-CN"/>
        </w:rPr>
      </w:pPr>
      <w:r>
        <w:rPr>
          <w:rFonts w:hint="eastAsia" w:eastAsia="宋体"/>
          <w:lang w:val="en-US" w:eastAsia="zh-CN"/>
        </w:rPr>
        <w:t>专项质量培训：针对质量检查中发现的共性问题，组织专项培训</w:t>
      </w:r>
    </w:p>
    <w:p w14:paraId="53C0F5E0">
      <w:pPr>
        <w:pStyle w:val="32"/>
        <w:numPr>
          <w:ilvl w:val="0"/>
          <w:numId w:val="40"/>
        </w:numPr>
        <w:bidi w:val="0"/>
        <w:ind w:left="425" w:leftChars="0" w:hanging="425" w:firstLineChars="0"/>
        <w:rPr>
          <w:rFonts w:hint="eastAsia" w:eastAsia="宋体"/>
          <w:lang w:val="en-US" w:eastAsia="zh-CN"/>
        </w:rPr>
      </w:pPr>
      <w:r>
        <w:rPr>
          <w:rFonts w:hint="eastAsia" w:eastAsia="宋体"/>
          <w:lang w:val="en-US" w:eastAsia="zh-CN"/>
        </w:rPr>
        <w:t>内审员培训：组织内审员参加专业培训，提高审核能力</w:t>
      </w:r>
    </w:p>
    <w:p w14:paraId="5D98E26B">
      <w:pPr>
        <w:pStyle w:val="32"/>
        <w:numPr>
          <w:ilvl w:val="0"/>
          <w:numId w:val="40"/>
        </w:numPr>
        <w:bidi w:val="0"/>
        <w:ind w:left="425" w:leftChars="0" w:hanging="425" w:firstLineChars="0"/>
        <w:rPr>
          <w:rFonts w:hint="eastAsia" w:eastAsia="宋体"/>
          <w:lang w:val="en-US" w:eastAsia="zh-CN"/>
        </w:rPr>
      </w:pPr>
      <w:r>
        <w:rPr>
          <w:rFonts w:hint="eastAsia" w:eastAsia="宋体"/>
          <w:lang w:val="en-US" w:eastAsia="zh-CN"/>
        </w:rPr>
        <w:t>质量意识培训：定期开展质量意识宣贯，形成全员质量文化</w:t>
      </w:r>
    </w:p>
    <w:p w14:paraId="27E3E18C">
      <w:pPr>
        <w:pStyle w:val="32"/>
        <w:bidi w:val="0"/>
        <w:rPr>
          <w:rFonts w:hint="default"/>
          <w:lang w:val="en-US" w:eastAsia="zh-CN"/>
        </w:rPr>
      </w:pPr>
      <w:r>
        <w:rPr>
          <w:rFonts w:hint="eastAsia"/>
          <w:lang w:val="en-US" w:eastAsia="zh-CN"/>
        </w:rPr>
        <w:t>2026年度质量培训安排</w:t>
      </w:r>
    </w:p>
    <w:p w14:paraId="40F9A1DE">
      <w:pPr>
        <w:pStyle w:val="32"/>
        <w:numPr>
          <w:ilvl w:val="0"/>
          <w:numId w:val="0"/>
        </w:numPr>
        <w:bidi w:val="0"/>
        <w:ind w:leftChars="0"/>
        <w:jc w:val="left"/>
        <w:rPr>
          <w:rFonts w:hint="eastAsia" w:eastAsia="宋体"/>
          <w:lang w:val="en-US" w:eastAsia="zh-CN"/>
        </w:rPr>
      </w:pPr>
      <w:r>
        <w:rPr>
          <w:rFonts w:hint="eastAsia" w:eastAsia="宋体"/>
          <w:lang w:val="en-US" w:eastAsia="zh-CN"/>
        </w:rPr>
        <w:t>运维服务项目进行新的运维周期或者结束前，应进行项目总结和项目验收：</w:t>
      </w:r>
    </w:p>
    <w:p w14:paraId="3A721B18">
      <w:pPr>
        <w:pStyle w:val="32"/>
        <w:numPr>
          <w:ilvl w:val="0"/>
          <w:numId w:val="41"/>
        </w:numPr>
        <w:bidi w:val="0"/>
        <w:ind w:left="425" w:leftChars="0" w:hanging="425" w:firstLineChars="0"/>
        <w:jc w:val="left"/>
        <w:rPr>
          <w:rFonts w:hint="eastAsia" w:eastAsia="宋体"/>
          <w:lang w:val="en-US" w:eastAsia="zh-CN"/>
        </w:rPr>
      </w:pPr>
      <w:r>
        <w:rPr>
          <w:rFonts w:hint="eastAsia" w:eastAsia="宋体"/>
          <w:lang w:val="en-US" w:eastAsia="zh-CN"/>
        </w:rPr>
        <w:t>验收内容：对照合同要求和SLA协议，检查服务交付成果的完整性和符合性</w:t>
      </w:r>
    </w:p>
    <w:p w14:paraId="095B10A4">
      <w:pPr>
        <w:pStyle w:val="32"/>
        <w:numPr>
          <w:ilvl w:val="0"/>
          <w:numId w:val="41"/>
        </w:numPr>
        <w:bidi w:val="0"/>
        <w:ind w:left="425" w:leftChars="0" w:hanging="425" w:firstLineChars="0"/>
        <w:jc w:val="left"/>
        <w:rPr>
          <w:rFonts w:hint="eastAsia" w:eastAsia="宋体"/>
          <w:lang w:val="en-US" w:eastAsia="zh-CN"/>
        </w:rPr>
      </w:pPr>
      <w:r>
        <w:rPr>
          <w:rFonts w:hint="eastAsia" w:eastAsia="宋体"/>
          <w:lang w:val="en-US" w:eastAsia="zh-CN"/>
        </w:rPr>
        <w:t>验收流程：由运维部项目经理组织，产品质量部参与监督，客户确认</w:t>
      </w:r>
    </w:p>
    <w:p w14:paraId="3CB6181E">
      <w:pPr>
        <w:pStyle w:val="32"/>
        <w:numPr>
          <w:ilvl w:val="0"/>
          <w:numId w:val="41"/>
        </w:numPr>
        <w:bidi w:val="0"/>
        <w:ind w:left="425" w:leftChars="0" w:hanging="425" w:firstLineChars="0"/>
        <w:jc w:val="left"/>
        <w:rPr>
          <w:rFonts w:hint="eastAsia" w:eastAsia="宋体"/>
          <w:lang w:val="en-US" w:eastAsia="zh-CN"/>
        </w:rPr>
      </w:pPr>
      <w:r>
        <w:rPr>
          <w:rFonts w:hint="eastAsia" w:eastAsia="宋体"/>
          <w:lang w:val="en-US" w:eastAsia="zh-CN"/>
        </w:rPr>
        <w:t>验收文档：形成《项目验收报告》，记录验收结论和客户反馈</w:t>
      </w:r>
    </w:p>
    <w:p w14:paraId="5367C113">
      <w:pPr>
        <w:pStyle w:val="32"/>
        <w:numPr>
          <w:ilvl w:val="0"/>
          <w:numId w:val="41"/>
        </w:numPr>
        <w:bidi w:val="0"/>
        <w:ind w:left="425" w:leftChars="0" w:hanging="425" w:firstLineChars="0"/>
        <w:jc w:val="left"/>
        <w:rPr>
          <w:rFonts w:hint="eastAsia" w:eastAsia="宋体"/>
          <w:lang w:val="en-US" w:eastAsia="zh-CN"/>
        </w:rPr>
      </w:pPr>
      <w:r>
        <w:rPr>
          <w:rFonts w:hint="eastAsia" w:eastAsia="宋体"/>
          <w:lang w:val="en-US" w:eastAsia="zh-CN"/>
        </w:rPr>
        <w:t>经验总结：对需要改进的服务提出改进意见，为提高公司整体运维水平提供经验和借鉴</w:t>
      </w:r>
    </w:p>
    <w:p w14:paraId="454D4609">
      <w:pPr>
        <w:pStyle w:val="32"/>
        <w:numPr>
          <w:ilvl w:val="0"/>
          <w:numId w:val="41"/>
        </w:numPr>
        <w:bidi w:val="0"/>
        <w:ind w:left="425" w:leftChars="0" w:hanging="425" w:firstLineChars="0"/>
        <w:jc w:val="left"/>
        <w:rPr>
          <w:rFonts w:hint="eastAsia" w:eastAsia="宋体"/>
          <w:lang w:val="en-US" w:eastAsia="zh-CN"/>
        </w:rPr>
      </w:pPr>
      <w:r>
        <w:rPr>
          <w:rFonts w:hint="eastAsia" w:eastAsia="宋体"/>
          <w:lang w:val="en-US" w:eastAsia="zh-CN"/>
        </w:rPr>
        <w:t>知识入库：将项目经验和教训纳入服务知识，为后续项目提供参考</w:t>
      </w:r>
    </w:p>
    <w:p w14:paraId="224AA965">
      <w:pPr>
        <w:pStyle w:val="32"/>
        <w:bidi w:val="0"/>
        <w:rPr>
          <w:rFonts w:hint="eastAsia" w:eastAsia="宋体"/>
          <w:lang w:val="en-US" w:eastAsia="zh-CN"/>
        </w:rPr>
      </w:pPr>
      <w:r>
        <w:rPr>
          <w:rFonts w:hint="eastAsia" w:eastAsia="宋体"/>
          <w:lang w:val="en-US" w:eastAsia="zh-CN"/>
        </w:rPr>
        <w:t>各部门人员应接受有关公司质量管理制度和质量价值的定向培训，以形成质量意识。培训记录由综合部归档。</w:t>
      </w:r>
    </w:p>
    <w:p w14:paraId="65ADC762">
      <w:pPr>
        <w:pStyle w:val="33"/>
        <w:bidi w:val="0"/>
        <w:rPr>
          <w:rFonts w:hint="eastAsia"/>
          <w:lang w:val="en-US" w:eastAsia="zh-CN"/>
        </w:rPr>
      </w:pPr>
      <w:bookmarkStart w:id="81" w:name="_Toc31766"/>
      <w:bookmarkStart w:id="82" w:name="_Toc25539"/>
      <w:r>
        <w:rPr>
          <w:rFonts w:hint="eastAsia"/>
          <w:lang w:val="en-US" w:eastAsia="zh-CN"/>
        </w:rPr>
        <w:t>质量管理工作汇报及总结</w:t>
      </w:r>
      <w:bookmarkEnd w:id="81"/>
      <w:bookmarkEnd w:id="82"/>
    </w:p>
    <w:p w14:paraId="6D66D908">
      <w:pPr>
        <w:pStyle w:val="32"/>
        <w:bidi w:val="0"/>
        <w:rPr>
          <w:rFonts w:hint="eastAsia" w:eastAsia="宋体"/>
          <w:lang w:val="en-US" w:eastAsia="zh-CN"/>
        </w:rPr>
      </w:pPr>
      <w:r>
        <w:rPr>
          <w:rFonts w:hint="eastAsia" w:eastAsia="宋体"/>
          <w:lang w:val="en-US" w:eastAsia="zh-CN"/>
        </w:rPr>
        <w:t>产品质量部应定期出具质量报告，对发现的问题及问题的发展趋势进行分析总结：</w:t>
      </w:r>
    </w:p>
    <w:p w14:paraId="203BAF34">
      <w:pPr>
        <w:pStyle w:val="32"/>
        <w:numPr>
          <w:ilvl w:val="0"/>
          <w:numId w:val="42"/>
        </w:numPr>
        <w:bidi w:val="0"/>
        <w:ind w:left="425" w:leftChars="0" w:hanging="425" w:firstLineChars="0"/>
        <w:rPr>
          <w:rFonts w:hint="eastAsia" w:eastAsia="宋体"/>
          <w:lang w:val="en-US" w:eastAsia="zh-CN"/>
        </w:rPr>
      </w:pPr>
      <w:r>
        <w:rPr>
          <w:rFonts w:hint="eastAsia" w:eastAsia="宋体"/>
          <w:lang w:val="en-US" w:eastAsia="zh-CN"/>
        </w:rPr>
        <w:t>月度质量简报：简要通报本月质量检查发现、改进项进展等</w:t>
      </w:r>
    </w:p>
    <w:p w14:paraId="49B5AFCF">
      <w:pPr>
        <w:pStyle w:val="32"/>
        <w:numPr>
          <w:ilvl w:val="0"/>
          <w:numId w:val="42"/>
        </w:numPr>
        <w:bidi w:val="0"/>
        <w:ind w:left="425" w:leftChars="0" w:hanging="425" w:firstLineChars="0"/>
        <w:rPr>
          <w:rFonts w:hint="eastAsia" w:eastAsia="宋体"/>
          <w:lang w:val="en-US" w:eastAsia="zh-CN"/>
        </w:rPr>
      </w:pPr>
      <w:r>
        <w:rPr>
          <w:rFonts w:hint="eastAsia" w:eastAsia="宋体"/>
          <w:lang w:val="en-US" w:eastAsia="zh-CN"/>
        </w:rPr>
        <w:t>季度质量报告：详细分析本季度质量状况，包括KPI达成情况、主要问题、改进建议等</w:t>
      </w:r>
    </w:p>
    <w:p w14:paraId="0CBFA6CA">
      <w:pPr>
        <w:pStyle w:val="32"/>
        <w:numPr>
          <w:ilvl w:val="0"/>
          <w:numId w:val="42"/>
        </w:numPr>
        <w:bidi w:val="0"/>
        <w:ind w:left="425" w:leftChars="0" w:hanging="425" w:firstLineChars="0"/>
        <w:rPr>
          <w:rFonts w:hint="eastAsia" w:eastAsia="宋体"/>
          <w:lang w:val="en-US" w:eastAsia="zh-CN"/>
        </w:rPr>
      </w:pPr>
      <w:r>
        <w:rPr>
          <w:rFonts w:hint="eastAsia" w:eastAsia="宋体"/>
          <w:lang w:val="en-US" w:eastAsia="zh-CN"/>
        </w:rPr>
        <w:t>年度质量报告：年度质量管理计划执行完毕后，产品质量部应撰写《2026年度运维服务质量管理报告》，总结全年质量工作，分析趋势，提出下一年度质量改进建议，提交公司领导审批。</w:t>
      </w:r>
    </w:p>
    <w:p w14:paraId="583B522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eastAsia="宋体"/>
          <w:lang w:val="en-US" w:eastAsia="zh-CN"/>
        </w:rPr>
        <w:t>质量报告应作为管理评审的重要输入。</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B3B38"/>
    <w:multiLevelType w:val="singleLevel"/>
    <w:tmpl w:val="80CB3B38"/>
    <w:lvl w:ilvl="0" w:tentative="0">
      <w:start w:val="1"/>
      <w:numFmt w:val="decimal"/>
      <w:lvlText w:val="%1."/>
      <w:lvlJc w:val="left"/>
      <w:pPr>
        <w:ind w:left="425" w:hanging="425"/>
      </w:pPr>
      <w:rPr>
        <w:rFonts w:hint="default"/>
      </w:rPr>
    </w:lvl>
  </w:abstractNum>
  <w:abstractNum w:abstractNumId="1">
    <w:nsid w:val="818EFC34"/>
    <w:multiLevelType w:val="singleLevel"/>
    <w:tmpl w:val="818EFC34"/>
    <w:lvl w:ilvl="0" w:tentative="0">
      <w:start w:val="1"/>
      <w:numFmt w:val="decimal"/>
      <w:lvlText w:val="%1."/>
      <w:lvlJc w:val="left"/>
      <w:pPr>
        <w:ind w:left="425" w:hanging="425"/>
      </w:pPr>
      <w:rPr>
        <w:rFonts w:hint="default"/>
      </w:rPr>
    </w:lvl>
  </w:abstractNum>
  <w:abstractNum w:abstractNumId="2">
    <w:nsid w:val="8A6D290B"/>
    <w:multiLevelType w:val="singleLevel"/>
    <w:tmpl w:val="8A6D290B"/>
    <w:lvl w:ilvl="0" w:tentative="0">
      <w:start w:val="1"/>
      <w:numFmt w:val="decimal"/>
      <w:lvlText w:val="%1."/>
      <w:lvlJc w:val="left"/>
      <w:pPr>
        <w:ind w:left="425" w:hanging="425"/>
      </w:pPr>
      <w:rPr>
        <w:rFonts w:hint="default"/>
      </w:rPr>
    </w:lvl>
  </w:abstractNum>
  <w:abstractNum w:abstractNumId="3">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921A48FF"/>
    <w:multiLevelType w:val="singleLevel"/>
    <w:tmpl w:val="921A48FF"/>
    <w:lvl w:ilvl="0" w:tentative="0">
      <w:start w:val="1"/>
      <w:numFmt w:val="decimal"/>
      <w:lvlText w:val="%1."/>
      <w:lvlJc w:val="left"/>
      <w:pPr>
        <w:ind w:left="425" w:hanging="425"/>
      </w:pPr>
      <w:rPr>
        <w:rFonts w:hint="default"/>
      </w:rPr>
    </w:lvl>
  </w:abstractNum>
  <w:abstractNum w:abstractNumId="5">
    <w:nsid w:val="9CC10E9A"/>
    <w:multiLevelType w:val="singleLevel"/>
    <w:tmpl w:val="9CC10E9A"/>
    <w:lvl w:ilvl="0" w:tentative="0">
      <w:start w:val="1"/>
      <w:numFmt w:val="decimal"/>
      <w:lvlText w:val="%1."/>
      <w:lvlJc w:val="left"/>
      <w:pPr>
        <w:ind w:left="425" w:hanging="425"/>
      </w:pPr>
      <w:rPr>
        <w:rFonts w:hint="default"/>
      </w:rPr>
    </w:lvl>
  </w:abstractNum>
  <w:abstractNum w:abstractNumId="6">
    <w:nsid w:val="A241C4DC"/>
    <w:multiLevelType w:val="singleLevel"/>
    <w:tmpl w:val="A241C4DC"/>
    <w:lvl w:ilvl="0" w:tentative="0">
      <w:start w:val="1"/>
      <w:numFmt w:val="decimal"/>
      <w:lvlText w:val="%1."/>
      <w:lvlJc w:val="left"/>
      <w:pPr>
        <w:ind w:left="425" w:hanging="425"/>
      </w:pPr>
      <w:rPr>
        <w:rFonts w:hint="default"/>
      </w:rPr>
    </w:lvl>
  </w:abstractNum>
  <w:abstractNum w:abstractNumId="7">
    <w:nsid w:val="B50C925D"/>
    <w:multiLevelType w:val="singleLevel"/>
    <w:tmpl w:val="B50C925D"/>
    <w:lvl w:ilvl="0" w:tentative="0">
      <w:start w:val="1"/>
      <w:numFmt w:val="decimal"/>
      <w:lvlText w:val="%1."/>
      <w:lvlJc w:val="left"/>
      <w:pPr>
        <w:ind w:left="425" w:hanging="425"/>
      </w:pPr>
      <w:rPr>
        <w:rFonts w:hint="default"/>
      </w:rPr>
    </w:lvl>
  </w:abstractNum>
  <w:abstractNum w:abstractNumId="8">
    <w:nsid w:val="C8A1FBFF"/>
    <w:multiLevelType w:val="singleLevel"/>
    <w:tmpl w:val="C8A1FBFF"/>
    <w:lvl w:ilvl="0" w:tentative="0">
      <w:start w:val="1"/>
      <w:numFmt w:val="decimal"/>
      <w:lvlText w:val="%1."/>
      <w:lvlJc w:val="left"/>
      <w:pPr>
        <w:ind w:left="425" w:hanging="425"/>
      </w:pPr>
      <w:rPr>
        <w:rFonts w:hint="default"/>
      </w:rPr>
    </w:lvl>
  </w:abstractNum>
  <w:abstractNum w:abstractNumId="9">
    <w:nsid w:val="CB6D8D84"/>
    <w:multiLevelType w:val="singleLevel"/>
    <w:tmpl w:val="CB6D8D84"/>
    <w:lvl w:ilvl="0" w:tentative="0">
      <w:start w:val="1"/>
      <w:numFmt w:val="decimal"/>
      <w:lvlText w:val="%1."/>
      <w:lvlJc w:val="left"/>
      <w:pPr>
        <w:ind w:left="425" w:hanging="425"/>
      </w:pPr>
      <w:rPr>
        <w:rFonts w:hint="default"/>
      </w:rPr>
    </w:lvl>
  </w:abstractNum>
  <w:abstractNum w:abstractNumId="10">
    <w:nsid w:val="D3AAEBE4"/>
    <w:multiLevelType w:val="singleLevel"/>
    <w:tmpl w:val="D3AAEBE4"/>
    <w:lvl w:ilvl="0" w:tentative="0">
      <w:start w:val="1"/>
      <w:numFmt w:val="decimal"/>
      <w:lvlText w:val="%1."/>
      <w:lvlJc w:val="left"/>
      <w:pPr>
        <w:ind w:left="425" w:hanging="425"/>
      </w:pPr>
      <w:rPr>
        <w:rFonts w:hint="default"/>
      </w:rPr>
    </w:lvl>
  </w:abstractNum>
  <w:abstractNum w:abstractNumId="11">
    <w:nsid w:val="DB96112D"/>
    <w:multiLevelType w:val="singleLevel"/>
    <w:tmpl w:val="DB96112D"/>
    <w:lvl w:ilvl="0" w:tentative="0">
      <w:start w:val="1"/>
      <w:numFmt w:val="decimal"/>
      <w:lvlText w:val="%1."/>
      <w:lvlJc w:val="left"/>
      <w:pPr>
        <w:ind w:left="425" w:hanging="425"/>
      </w:pPr>
      <w:rPr>
        <w:rFonts w:hint="default"/>
      </w:rPr>
    </w:lvl>
  </w:abstractNum>
  <w:abstractNum w:abstractNumId="12">
    <w:nsid w:val="DD8896AC"/>
    <w:multiLevelType w:val="singleLevel"/>
    <w:tmpl w:val="DD8896AC"/>
    <w:lvl w:ilvl="0" w:tentative="0">
      <w:start w:val="1"/>
      <w:numFmt w:val="decimal"/>
      <w:lvlText w:val="%1."/>
      <w:lvlJc w:val="left"/>
      <w:pPr>
        <w:ind w:left="425" w:hanging="425"/>
      </w:pPr>
      <w:rPr>
        <w:rFonts w:hint="default"/>
      </w:rPr>
    </w:lvl>
  </w:abstractNum>
  <w:abstractNum w:abstractNumId="13">
    <w:nsid w:val="EC0C90B2"/>
    <w:multiLevelType w:val="singleLevel"/>
    <w:tmpl w:val="EC0C90B2"/>
    <w:lvl w:ilvl="0" w:tentative="0">
      <w:start w:val="1"/>
      <w:numFmt w:val="decimal"/>
      <w:lvlText w:val="%1."/>
      <w:lvlJc w:val="left"/>
      <w:pPr>
        <w:ind w:left="425" w:hanging="425"/>
      </w:pPr>
      <w:rPr>
        <w:rFonts w:hint="default"/>
      </w:rPr>
    </w:lvl>
  </w:abstractNum>
  <w:abstractNum w:abstractNumId="14">
    <w:nsid w:val="F0B440C8"/>
    <w:multiLevelType w:val="singleLevel"/>
    <w:tmpl w:val="F0B440C8"/>
    <w:lvl w:ilvl="0" w:tentative="0">
      <w:start w:val="1"/>
      <w:numFmt w:val="decimal"/>
      <w:lvlText w:val="%1."/>
      <w:lvlJc w:val="left"/>
      <w:pPr>
        <w:ind w:left="425" w:hanging="425"/>
      </w:pPr>
      <w:rPr>
        <w:rFonts w:hint="default"/>
      </w:rPr>
    </w:lvl>
  </w:abstractNum>
  <w:abstractNum w:abstractNumId="15">
    <w:nsid w:val="F34FBE10"/>
    <w:multiLevelType w:val="singleLevel"/>
    <w:tmpl w:val="F34FBE10"/>
    <w:lvl w:ilvl="0" w:tentative="0">
      <w:start w:val="1"/>
      <w:numFmt w:val="decimal"/>
      <w:lvlText w:val="%1."/>
      <w:lvlJc w:val="left"/>
      <w:pPr>
        <w:ind w:left="425" w:hanging="425"/>
      </w:pPr>
      <w:rPr>
        <w:rFonts w:hint="default"/>
      </w:rPr>
    </w:lvl>
  </w:abstractNum>
  <w:abstractNum w:abstractNumId="16">
    <w:nsid w:val="F8B87118"/>
    <w:multiLevelType w:val="singleLevel"/>
    <w:tmpl w:val="F8B87118"/>
    <w:lvl w:ilvl="0" w:tentative="0">
      <w:start w:val="1"/>
      <w:numFmt w:val="decimal"/>
      <w:lvlText w:val="%1."/>
      <w:lvlJc w:val="left"/>
      <w:pPr>
        <w:ind w:left="425" w:hanging="425"/>
      </w:pPr>
      <w:rPr>
        <w:rFonts w:hint="default"/>
      </w:rPr>
    </w:lvl>
  </w:abstractNum>
  <w:abstractNum w:abstractNumId="17">
    <w:nsid w:val="FC92F113"/>
    <w:multiLevelType w:val="singleLevel"/>
    <w:tmpl w:val="FC92F113"/>
    <w:lvl w:ilvl="0" w:tentative="0">
      <w:start w:val="1"/>
      <w:numFmt w:val="decimal"/>
      <w:lvlText w:val="%1."/>
      <w:lvlJc w:val="left"/>
      <w:pPr>
        <w:ind w:left="425" w:hanging="425"/>
      </w:pPr>
      <w:rPr>
        <w:rFonts w:hint="default"/>
      </w:rPr>
    </w:lvl>
  </w:abstractNum>
  <w:abstractNum w:abstractNumId="18">
    <w:nsid w:val="02B5B86F"/>
    <w:multiLevelType w:val="singleLevel"/>
    <w:tmpl w:val="02B5B86F"/>
    <w:lvl w:ilvl="0" w:tentative="0">
      <w:start w:val="1"/>
      <w:numFmt w:val="decimal"/>
      <w:lvlText w:val="(%1)"/>
      <w:lvlJc w:val="left"/>
      <w:pPr>
        <w:tabs>
          <w:tab w:val="left" w:pos="420"/>
        </w:tabs>
        <w:ind w:left="845" w:hanging="425"/>
      </w:pPr>
      <w:rPr>
        <w:rFonts w:hint="default"/>
      </w:rPr>
    </w:lvl>
  </w:abstractNum>
  <w:abstractNum w:abstractNumId="19">
    <w:nsid w:val="0817D10C"/>
    <w:multiLevelType w:val="singleLevel"/>
    <w:tmpl w:val="0817D10C"/>
    <w:lvl w:ilvl="0" w:tentative="0">
      <w:start w:val="1"/>
      <w:numFmt w:val="decimal"/>
      <w:lvlText w:val="%1."/>
      <w:lvlJc w:val="left"/>
      <w:pPr>
        <w:ind w:left="425" w:hanging="425"/>
      </w:pPr>
      <w:rPr>
        <w:rFonts w:hint="default"/>
      </w:rPr>
    </w:lvl>
  </w:abstractNum>
  <w:abstractNum w:abstractNumId="20">
    <w:nsid w:val="0E1BE157"/>
    <w:multiLevelType w:val="singleLevel"/>
    <w:tmpl w:val="0E1BE157"/>
    <w:lvl w:ilvl="0" w:tentative="0">
      <w:start w:val="1"/>
      <w:numFmt w:val="decimal"/>
      <w:lvlText w:val="%1."/>
      <w:lvlJc w:val="left"/>
      <w:pPr>
        <w:ind w:left="425" w:hanging="425"/>
      </w:pPr>
      <w:rPr>
        <w:rFonts w:hint="default"/>
      </w:rPr>
    </w:lvl>
  </w:abstractNum>
  <w:abstractNum w:abstractNumId="21">
    <w:nsid w:val="0E9F76DA"/>
    <w:multiLevelType w:val="singleLevel"/>
    <w:tmpl w:val="0E9F76DA"/>
    <w:lvl w:ilvl="0" w:tentative="0">
      <w:start w:val="1"/>
      <w:numFmt w:val="decimal"/>
      <w:lvlText w:val="%1."/>
      <w:lvlJc w:val="left"/>
      <w:pPr>
        <w:ind w:left="425" w:hanging="425"/>
      </w:pPr>
      <w:rPr>
        <w:rFonts w:hint="default"/>
      </w:rPr>
    </w:lvl>
  </w:abstractNum>
  <w:abstractNum w:abstractNumId="22">
    <w:nsid w:val="107F4E6D"/>
    <w:multiLevelType w:val="singleLevel"/>
    <w:tmpl w:val="107F4E6D"/>
    <w:lvl w:ilvl="0" w:tentative="0">
      <w:start w:val="1"/>
      <w:numFmt w:val="decimal"/>
      <w:lvlText w:val="%1."/>
      <w:lvlJc w:val="left"/>
      <w:pPr>
        <w:ind w:left="425" w:hanging="425"/>
      </w:pPr>
      <w:rPr>
        <w:rFonts w:hint="default"/>
      </w:rPr>
    </w:lvl>
  </w:abstractNum>
  <w:abstractNum w:abstractNumId="23">
    <w:nsid w:val="109D151E"/>
    <w:multiLevelType w:val="singleLevel"/>
    <w:tmpl w:val="109D151E"/>
    <w:lvl w:ilvl="0" w:tentative="0">
      <w:start w:val="1"/>
      <w:numFmt w:val="decimal"/>
      <w:lvlText w:val="%1."/>
      <w:lvlJc w:val="left"/>
      <w:pPr>
        <w:ind w:left="425" w:hanging="425"/>
      </w:pPr>
      <w:rPr>
        <w:rFonts w:hint="default"/>
      </w:rPr>
    </w:lvl>
  </w:abstractNum>
  <w:abstractNum w:abstractNumId="24">
    <w:nsid w:val="14B1C765"/>
    <w:multiLevelType w:val="singleLevel"/>
    <w:tmpl w:val="14B1C765"/>
    <w:lvl w:ilvl="0" w:tentative="0">
      <w:start w:val="1"/>
      <w:numFmt w:val="decimal"/>
      <w:lvlText w:val="(%1)"/>
      <w:lvlJc w:val="left"/>
      <w:pPr>
        <w:tabs>
          <w:tab w:val="left" w:pos="420"/>
        </w:tabs>
        <w:ind w:left="845" w:hanging="425"/>
      </w:pPr>
      <w:rPr>
        <w:rFonts w:hint="default"/>
      </w:rPr>
    </w:lvl>
  </w:abstractNum>
  <w:abstractNum w:abstractNumId="25">
    <w:nsid w:val="160C24C1"/>
    <w:multiLevelType w:val="singleLevel"/>
    <w:tmpl w:val="160C24C1"/>
    <w:lvl w:ilvl="0" w:tentative="0">
      <w:start w:val="1"/>
      <w:numFmt w:val="decimal"/>
      <w:lvlText w:val="%1."/>
      <w:lvlJc w:val="left"/>
      <w:pPr>
        <w:ind w:left="425" w:hanging="425"/>
      </w:pPr>
      <w:rPr>
        <w:rFonts w:hint="default"/>
      </w:rPr>
    </w:lvl>
  </w:abstractNum>
  <w:abstractNum w:abstractNumId="26">
    <w:nsid w:val="19B45B58"/>
    <w:multiLevelType w:val="singleLevel"/>
    <w:tmpl w:val="19B45B58"/>
    <w:lvl w:ilvl="0" w:tentative="0">
      <w:start w:val="1"/>
      <w:numFmt w:val="decimal"/>
      <w:lvlText w:val="%1."/>
      <w:lvlJc w:val="left"/>
      <w:pPr>
        <w:ind w:left="425" w:hanging="425"/>
      </w:pPr>
      <w:rPr>
        <w:rFonts w:hint="default"/>
      </w:rPr>
    </w:lvl>
  </w:abstractNum>
  <w:abstractNum w:abstractNumId="27">
    <w:nsid w:val="1CDD9E06"/>
    <w:multiLevelType w:val="singleLevel"/>
    <w:tmpl w:val="1CDD9E06"/>
    <w:lvl w:ilvl="0" w:tentative="0">
      <w:start w:val="1"/>
      <w:numFmt w:val="decimal"/>
      <w:lvlText w:val="(%1)"/>
      <w:lvlJc w:val="left"/>
      <w:pPr>
        <w:tabs>
          <w:tab w:val="left" w:pos="420"/>
        </w:tabs>
        <w:ind w:left="845" w:hanging="425"/>
      </w:pPr>
      <w:rPr>
        <w:rFonts w:hint="default"/>
      </w:rPr>
    </w:lvl>
  </w:abstractNum>
  <w:abstractNum w:abstractNumId="28">
    <w:nsid w:val="223B8F42"/>
    <w:multiLevelType w:val="singleLevel"/>
    <w:tmpl w:val="223B8F42"/>
    <w:lvl w:ilvl="0" w:tentative="0">
      <w:start w:val="1"/>
      <w:numFmt w:val="decimal"/>
      <w:lvlText w:val="%1."/>
      <w:lvlJc w:val="left"/>
      <w:pPr>
        <w:ind w:left="425" w:hanging="425"/>
      </w:pPr>
      <w:rPr>
        <w:rFonts w:hint="default"/>
      </w:rPr>
    </w:lvl>
  </w:abstractNum>
  <w:abstractNum w:abstractNumId="29">
    <w:nsid w:val="24693B9F"/>
    <w:multiLevelType w:val="singleLevel"/>
    <w:tmpl w:val="24693B9F"/>
    <w:lvl w:ilvl="0" w:tentative="0">
      <w:start w:val="1"/>
      <w:numFmt w:val="decimal"/>
      <w:lvlText w:val="%1."/>
      <w:lvlJc w:val="left"/>
      <w:pPr>
        <w:ind w:left="425" w:hanging="425"/>
      </w:pPr>
      <w:rPr>
        <w:rFonts w:hint="default"/>
      </w:rPr>
    </w:lvl>
  </w:abstractNum>
  <w:abstractNum w:abstractNumId="30">
    <w:nsid w:val="24C06536"/>
    <w:multiLevelType w:val="singleLevel"/>
    <w:tmpl w:val="24C06536"/>
    <w:lvl w:ilvl="0" w:tentative="0">
      <w:start w:val="1"/>
      <w:numFmt w:val="decimal"/>
      <w:lvlText w:val="%1."/>
      <w:lvlJc w:val="left"/>
      <w:pPr>
        <w:ind w:left="425" w:hanging="425"/>
      </w:pPr>
      <w:rPr>
        <w:rFonts w:hint="default"/>
      </w:rPr>
    </w:lvl>
  </w:abstractNum>
  <w:abstractNum w:abstractNumId="31">
    <w:nsid w:val="2DE18BE8"/>
    <w:multiLevelType w:val="singleLevel"/>
    <w:tmpl w:val="2DE18BE8"/>
    <w:lvl w:ilvl="0" w:tentative="0">
      <w:start w:val="1"/>
      <w:numFmt w:val="decimal"/>
      <w:lvlText w:val="%1."/>
      <w:lvlJc w:val="left"/>
      <w:pPr>
        <w:ind w:left="425" w:hanging="425"/>
      </w:pPr>
      <w:rPr>
        <w:rFonts w:hint="default"/>
      </w:rPr>
    </w:lvl>
  </w:abstractNum>
  <w:abstractNum w:abstractNumId="32">
    <w:nsid w:val="3A67D094"/>
    <w:multiLevelType w:val="singleLevel"/>
    <w:tmpl w:val="3A67D094"/>
    <w:lvl w:ilvl="0" w:tentative="0">
      <w:start w:val="1"/>
      <w:numFmt w:val="decimal"/>
      <w:lvlText w:val="%1."/>
      <w:lvlJc w:val="left"/>
      <w:pPr>
        <w:ind w:left="425" w:hanging="425"/>
      </w:pPr>
      <w:rPr>
        <w:rFonts w:hint="default"/>
      </w:rPr>
    </w:lvl>
  </w:abstractNum>
  <w:abstractNum w:abstractNumId="33">
    <w:nsid w:val="44D5E805"/>
    <w:multiLevelType w:val="singleLevel"/>
    <w:tmpl w:val="44D5E805"/>
    <w:lvl w:ilvl="0" w:tentative="0">
      <w:start w:val="1"/>
      <w:numFmt w:val="decimal"/>
      <w:lvlText w:val="%1."/>
      <w:lvlJc w:val="left"/>
      <w:pPr>
        <w:ind w:left="425" w:hanging="425"/>
      </w:pPr>
      <w:rPr>
        <w:rFonts w:hint="default"/>
      </w:rPr>
    </w:lvl>
  </w:abstractNum>
  <w:abstractNum w:abstractNumId="34">
    <w:nsid w:val="45A220CC"/>
    <w:multiLevelType w:val="singleLevel"/>
    <w:tmpl w:val="45A220CC"/>
    <w:lvl w:ilvl="0" w:tentative="0">
      <w:start w:val="1"/>
      <w:numFmt w:val="decimal"/>
      <w:lvlText w:val="%1."/>
      <w:lvlJc w:val="left"/>
      <w:pPr>
        <w:ind w:left="425" w:hanging="425"/>
      </w:pPr>
      <w:rPr>
        <w:rFonts w:hint="default"/>
      </w:rPr>
    </w:lvl>
  </w:abstractNum>
  <w:abstractNum w:abstractNumId="35">
    <w:nsid w:val="50FCB332"/>
    <w:multiLevelType w:val="singleLevel"/>
    <w:tmpl w:val="50FCB332"/>
    <w:lvl w:ilvl="0" w:tentative="0">
      <w:start w:val="1"/>
      <w:numFmt w:val="decimal"/>
      <w:lvlText w:val="%1."/>
      <w:lvlJc w:val="left"/>
      <w:pPr>
        <w:ind w:left="425" w:hanging="425"/>
      </w:pPr>
      <w:rPr>
        <w:rFonts w:hint="default"/>
      </w:rPr>
    </w:lvl>
  </w:abstractNum>
  <w:abstractNum w:abstractNumId="36">
    <w:nsid w:val="57CB4D30"/>
    <w:multiLevelType w:val="singleLevel"/>
    <w:tmpl w:val="57CB4D30"/>
    <w:lvl w:ilvl="0" w:tentative="0">
      <w:start w:val="1"/>
      <w:numFmt w:val="decimal"/>
      <w:lvlText w:val="%1."/>
      <w:lvlJc w:val="left"/>
      <w:pPr>
        <w:ind w:left="425" w:hanging="425"/>
      </w:pPr>
      <w:rPr>
        <w:rFonts w:hint="default"/>
      </w:rPr>
    </w:lvl>
  </w:abstractNum>
  <w:abstractNum w:abstractNumId="37">
    <w:nsid w:val="5CD7A480"/>
    <w:multiLevelType w:val="singleLevel"/>
    <w:tmpl w:val="5CD7A480"/>
    <w:lvl w:ilvl="0" w:tentative="0">
      <w:start w:val="1"/>
      <w:numFmt w:val="decimal"/>
      <w:lvlText w:val="%1."/>
      <w:lvlJc w:val="left"/>
      <w:pPr>
        <w:ind w:left="425" w:hanging="425"/>
      </w:pPr>
      <w:rPr>
        <w:rFonts w:hint="default"/>
      </w:rPr>
    </w:lvl>
  </w:abstractNum>
  <w:abstractNum w:abstractNumId="38">
    <w:nsid w:val="5D99ECE3"/>
    <w:multiLevelType w:val="singleLevel"/>
    <w:tmpl w:val="5D99ECE3"/>
    <w:lvl w:ilvl="0" w:tentative="0">
      <w:start w:val="1"/>
      <w:numFmt w:val="decimal"/>
      <w:lvlText w:val="%1."/>
      <w:lvlJc w:val="left"/>
      <w:pPr>
        <w:ind w:left="425" w:hanging="425"/>
      </w:pPr>
      <w:rPr>
        <w:rFonts w:hint="default"/>
      </w:rPr>
    </w:lvl>
  </w:abstractNum>
  <w:abstractNum w:abstractNumId="39">
    <w:nsid w:val="66A454BF"/>
    <w:multiLevelType w:val="singleLevel"/>
    <w:tmpl w:val="66A454BF"/>
    <w:lvl w:ilvl="0" w:tentative="0">
      <w:start w:val="1"/>
      <w:numFmt w:val="decimal"/>
      <w:lvlText w:val="%1."/>
      <w:lvlJc w:val="left"/>
      <w:pPr>
        <w:ind w:left="425" w:hanging="425"/>
      </w:pPr>
      <w:rPr>
        <w:rFonts w:hint="default"/>
      </w:rPr>
    </w:lvl>
  </w:abstractNum>
  <w:abstractNum w:abstractNumId="40">
    <w:nsid w:val="68FEFF48"/>
    <w:multiLevelType w:val="singleLevel"/>
    <w:tmpl w:val="68FEFF48"/>
    <w:lvl w:ilvl="0" w:tentative="0">
      <w:start w:val="1"/>
      <w:numFmt w:val="decimal"/>
      <w:lvlText w:val="%1."/>
      <w:lvlJc w:val="left"/>
      <w:pPr>
        <w:ind w:left="425" w:hanging="425"/>
      </w:pPr>
      <w:rPr>
        <w:rFonts w:hint="default"/>
      </w:rPr>
    </w:lvl>
  </w:abstractNum>
  <w:abstractNum w:abstractNumId="41">
    <w:nsid w:val="79D4EBC6"/>
    <w:multiLevelType w:val="singleLevel"/>
    <w:tmpl w:val="79D4EBC6"/>
    <w:lvl w:ilvl="0" w:tentative="0">
      <w:start w:val="1"/>
      <w:numFmt w:val="decimal"/>
      <w:lvlText w:val="%1."/>
      <w:lvlJc w:val="left"/>
      <w:pPr>
        <w:ind w:left="425" w:hanging="425"/>
      </w:pPr>
      <w:rPr>
        <w:rFonts w:hint="default"/>
      </w:rPr>
    </w:lvl>
  </w:abstractNum>
  <w:num w:numId="1">
    <w:abstractNumId w:val="3"/>
  </w:num>
  <w:num w:numId="2">
    <w:abstractNumId w:val="12"/>
  </w:num>
  <w:num w:numId="3">
    <w:abstractNumId w:val="30"/>
  </w:num>
  <w:num w:numId="4">
    <w:abstractNumId w:val="11"/>
  </w:num>
  <w:num w:numId="5">
    <w:abstractNumId w:val="20"/>
  </w:num>
  <w:num w:numId="6">
    <w:abstractNumId w:val="23"/>
  </w:num>
  <w:num w:numId="7">
    <w:abstractNumId w:val="34"/>
  </w:num>
  <w:num w:numId="8">
    <w:abstractNumId w:val="7"/>
  </w:num>
  <w:num w:numId="9">
    <w:abstractNumId w:val="4"/>
  </w:num>
  <w:num w:numId="10">
    <w:abstractNumId w:val="1"/>
  </w:num>
  <w:num w:numId="11">
    <w:abstractNumId w:val="39"/>
  </w:num>
  <w:num w:numId="12">
    <w:abstractNumId w:val="5"/>
  </w:num>
  <w:num w:numId="13">
    <w:abstractNumId w:val="6"/>
  </w:num>
  <w:num w:numId="14">
    <w:abstractNumId w:val="37"/>
  </w:num>
  <w:num w:numId="15">
    <w:abstractNumId w:val="15"/>
  </w:num>
  <w:num w:numId="16">
    <w:abstractNumId w:val="33"/>
  </w:num>
  <w:num w:numId="17">
    <w:abstractNumId w:val="10"/>
  </w:num>
  <w:num w:numId="18">
    <w:abstractNumId w:val="16"/>
  </w:num>
  <w:num w:numId="19">
    <w:abstractNumId w:val="2"/>
  </w:num>
  <w:num w:numId="20">
    <w:abstractNumId w:val="36"/>
  </w:num>
  <w:num w:numId="21">
    <w:abstractNumId w:val="28"/>
  </w:num>
  <w:num w:numId="22">
    <w:abstractNumId w:val="8"/>
  </w:num>
  <w:num w:numId="23">
    <w:abstractNumId w:val="35"/>
  </w:num>
  <w:num w:numId="24">
    <w:abstractNumId w:val="22"/>
  </w:num>
  <w:num w:numId="25">
    <w:abstractNumId w:val="21"/>
  </w:num>
  <w:num w:numId="26">
    <w:abstractNumId w:val="29"/>
  </w:num>
  <w:num w:numId="27">
    <w:abstractNumId w:val="40"/>
  </w:num>
  <w:num w:numId="28">
    <w:abstractNumId w:val="13"/>
  </w:num>
  <w:num w:numId="29">
    <w:abstractNumId w:val="31"/>
  </w:num>
  <w:num w:numId="30">
    <w:abstractNumId w:val="25"/>
  </w:num>
  <w:num w:numId="31">
    <w:abstractNumId w:val="17"/>
  </w:num>
  <w:num w:numId="32">
    <w:abstractNumId w:val="24"/>
  </w:num>
  <w:num w:numId="33">
    <w:abstractNumId w:val="26"/>
  </w:num>
  <w:num w:numId="34">
    <w:abstractNumId w:val="0"/>
  </w:num>
  <w:num w:numId="35">
    <w:abstractNumId w:val="27"/>
  </w:num>
  <w:num w:numId="36">
    <w:abstractNumId w:val="18"/>
  </w:num>
  <w:num w:numId="37">
    <w:abstractNumId w:val="14"/>
  </w:num>
  <w:num w:numId="38">
    <w:abstractNumId w:val="41"/>
  </w:num>
  <w:num w:numId="39">
    <w:abstractNumId w:val="19"/>
  </w:num>
  <w:num w:numId="40">
    <w:abstractNumId w:val="9"/>
  </w:num>
  <w:num w:numId="41">
    <w:abstractNumId w:val="38"/>
  </w:num>
  <w:num w:numId="4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96F6658"/>
    <w:rsid w:val="1AF51BB0"/>
    <w:rsid w:val="1E892D3B"/>
    <w:rsid w:val="264439EB"/>
    <w:rsid w:val="39F845E0"/>
    <w:rsid w:val="3A4B3142"/>
    <w:rsid w:val="3A4B5728"/>
    <w:rsid w:val="471D0F06"/>
    <w:rsid w:val="5B37709F"/>
    <w:rsid w:val="5FDC5117"/>
    <w:rsid w:val="61E53E2D"/>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2676</Words>
  <Characters>3252</Characters>
  <Lines>0</Lines>
  <Paragraphs>0</Paragraphs>
  <TotalTime>0</TotalTime>
  <ScaleCrop>false</ScaleCrop>
  <LinksUpToDate>false</LinksUpToDate>
  <CharactersWithSpaces>3424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2026-06-09T16:44:03Z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