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728C">
      <w:pPr>
        <w:pStyle w:val="26"/>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14:paraId="3806A851">
      <w:pPr>
        <w:pStyle w:val="27"/>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内审管理制度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6C931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4A9F3A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9422BB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HFSJ-ITSS-0401</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DBE36C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293645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35F6A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D77D6F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68ADE6A">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95C0CE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1062E5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5D134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45517B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854FE94">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BE53C8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48AE539">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0B0D7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069063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FDDC358">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2E4AC3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BA3C9AA">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1165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0CCF368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C66BC1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358CA2C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4386434C">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5B7B8DEF">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79F39DC4">
      <w:pPr>
        <w:pStyle w:val="3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7E101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4BDF2C4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2F5194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2CD7CB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DCA5CA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3983105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B308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8FAD5E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0EF8FA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56839F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D42D3F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A8CE5B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33D5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9C69EC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72B19E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3241FF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AD5148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99A6B6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6492A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16E7FB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E87423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11455A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9398E3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CF364E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4CADF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7A03FD1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E437CE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D10502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C0EDC0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4FCC343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017E3B2F">
      <w:pPr>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38A83AD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E619442">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_Toc27135 </w:instrText>
          </w:r>
          <w:r>
            <w:fldChar w:fldCharType="separate"/>
          </w:r>
          <w:r>
            <w:rPr>
              <w:rFonts w:hint="default"/>
              <w:lang w:val="en-US" w:eastAsia="zh-CN"/>
            </w:rPr>
            <w:t>1. 目的</w:t>
          </w:r>
          <w:r>
            <w:tab/>
          </w:r>
          <w:r>
            <w:fldChar w:fldCharType="begin"/>
          </w:r>
          <w:r>
            <w:instrText xml:space="preserve"> PAGEREF _Toc27135 \h </w:instrText>
          </w:r>
          <w:r>
            <w:fldChar w:fldCharType="separate"/>
          </w:r>
          <w:r>
            <w:t>4</w:t>
          </w:r>
          <w:r>
            <w:fldChar w:fldCharType="end"/>
          </w:r>
          <w:r>
            <w:fldChar w:fldCharType="end"/>
          </w:r>
        </w:p>
        <w:p w14:paraId="336B9B61">
          <w:pPr>
            <w:pStyle w:val="16"/>
            <w:tabs>
              <w:tab w:val="right" w:leader="dot" w:pos="8306"/>
            </w:tabs>
          </w:pPr>
          <w:r>
            <w:fldChar w:fldCharType="begin"/>
          </w:r>
          <w:r>
            <w:instrText xml:space="preserve"> HYPERLINK \l _Toc27241 </w:instrText>
          </w:r>
          <w:r>
            <w:fldChar w:fldCharType="separate"/>
          </w:r>
          <w:r>
            <w:rPr>
              <w:rFonts w:hint="default"/>
              <w:lang w:val="en-US" w:eastAsia="zh-CN"/>
            </w:rPr>
            <w:t>2. 范围</w:t>
          </w:r>
          <w:r>
            <w:tab/>
          </w:r>
          <w:r>
            <w:fldChar w:fldCharType="begin"/>
          </w:r>
          <w:r>
            <w:instrText xml:space="preserve"> PAGEREF _Toc27241 \h </w:instrText>
          </w:r>
          <w:r>
            <w:fldChar w:fldCharType="separate"/>
          </w:r>
          <w:r>
            <w:t>4</w:t>
          </w:r>
          <w:r>
            <w:fldChar w:fldCharType="end"/>
          </w:r>
          <w:r>
            <w:fldChar w:fldCharType="end"/>
          </w:r>
        </w:p>
        <w:p w14:paraId="0EDC2E93">
          <w:pPr>
            <w:pStyle w:val="16"/>
            <w:tabs>
              <w:tab w:val="right" w:leader="dot" w:pos="8306"/>
            </w:tabs>
          </w:pPr>
          <w:r>
            <w:fldChar w:fldCharType="begin"/>
          </w:r>
          <w:r>
            <w:instrText xml:space="preserve"> HYPERLINK \l _Toc21612 </w:instrText>
          </w:r>
          <w:r>
            <w:fldChar w:fldCharType="separate"/>
          </w:r>
          <w:r>
            <w:rPr>
              <w:rFonts w:hint="default"/>
              <w:lang w:val="en-US" w:eastAsia="zh-CN"/>
            </w:rPr>
            <w:t>3. 职责与权限</w:t>
          </w:r>
          <w:r>
            <w:tab/>
          </w:r>
          <w:r>
            <w:fldChar w:fldCharType="begin"/>
          </w:r>
          <w:r>
            <w:instrText xml:space="preserve"> PAGEREF _Toc21612 \h </w:instrText>
          </w:r>
          <w:r>
            <w:fldChar w:fldCharType="separate"/>
          </w:r>
          <w:r>
            <w:t>4</w:t>
          </w:r>
          <w:r>
            <w:fldChar w:fldCharType="end"/>
          </w:r>
          <w:r>
            <w:fldChar w:fldCharType="end"/>
          </w:r>
        </w:p>
        <w:p w14:paraId="5A869A50">
          <w:pPr>
            <w:pStyle w:val="18"/>
            <w:tabs>
              <w:tab w:val="right" w:leader="dot" w:pos="8306"/>
            </w:tabs>
          </w:pPr>
          <w:r>
            <w:fldChar w:fldCharType="begin"/>
          </w:r>
          <w:r>
            <w:instrText xml:space="preserve"> HYPERLINK \l _Toc18321 </w:instrText>
          </w:r>
          <w:r>
            <w:fldChar w:fldCharType="separate"/>
          </w:r>
          <w:r>
            <w:rPr>
              <w:rFonts w:hint="default"/>
              <w:lang w:val="en-US" w:eastAsia="zh-CN"/>
            </w:rPr>
            <w:t>3.1. 管理层</w:t>
          </w:r>
          <w:r>
            <w:tab/>
          </w:r>
          <w:r>
            <w:fldChar w:fldCharType="begin"/>
          </w:r>
          <w:r>
            <w:instrText xml:space="preserve"> PAGEREF _Toc18321 \h </w:instrText>
          </w:r>
          <w:r>
            <w:fldChar w:fldCharType="separate"/>
          </w:r>
          <w:r>
            <w:t>4</w:t>
          </w:r>
          <w:r>
            <w:fldChar w:fldCharType="end"/>
          </w:r>
          <w:r>
            <w:fldChar w:fldCharType="end"/>
          </w:r>
        </w:p>
        <w:p w14:paraId="1B7DF25B">
          <w:pPr>
            <w:pStyle w:val="18"/>
            <w:tabs>
              <w:tab w:val="right" w:leader="dot" w:pos="8306"/>
            </w:tabs>
          </w:pPr>
          <w:r>
            <w:fldChar w:fldCharType="begin"/>
          </w:r>
          <w:r>
            <w:instrText xml:space="preserve"> HYPERLINK \l _Toc16833 </w:instrText>
          </w:r>
          <w:r>
            <w:fldChar w:fldCharType="separate"/>
          </w:r>
          <w:r>
            <w:rPr>
              <w:rFonts w:hint="default"/>
              <w:lang w:val="en-US" w:eastAsia="zh-CN"/>
            </w:rPr>
            <w:t>3.2. 产品质量部</w:t>
          </w:r>
          <w:r>
            <w:tab/>
          </w:r>
          <w:r>
            <w:fldChar w:fldCharType="begin"/>
          </w:r>
          <w:r>
            <w:instrText xml:space="preserve"> PAGEREF _Toc16833 \h </w:instrText>
          </w:r>
          <w:r>
            <w:fldChar w:fldCharType="separate"/>
          </w:r>
          <w:r>
            <w:t>4</w:t>
          </w:r>
          <w:r>
            <w:fldChar w:fldCharType="end"/>
          </w:r>
          <w:r>
            <w:fldChar w:fldCharType="end"/>
          </w:r>
        </w:p>
        <w:p w14:paraId="035CBB5A">
          <w:pPr>
            <w:pStyle w:val="18"/>
            <w:tabs>
              <w:tab w:val="right" w:leader="dot" w:pos="8306"/>
            </w:tabs>
          </w:pPr>
          <w:r>
            <w:fldChar w:fldCharType="begin"/>
          </w:r>
          <w:r>
            <w:instrText xml:space="preserve"> HYPERLINK \l _Toc25282 </w:instrText>
          </w:r>
          <w:r>
            <w:fldChar w:fldCharType="separate"/>
          </w:r>
          <w:r>
            <w:rPr>
              <w:rFonts w:hint="default"/>
              <w:lang w:val="en-US" w:eastAsia="zh-CN"/>
            </w:rPr>
            <w:t>3.3. 运维部</w:t>
          </w:r>
          <w:r>
            <w:tab/>
          </w:r>
          <w:r>
            <w:fldChar w:fldCharType="begin"/>
          </w:r>
          <w:r>
            <w:instrText xml:space="preserve"> PAGEREF _Toc25282 \h </w:instrText>
          </w:r>
          <w:r>
            <w:fldChar w:fldCharType="separate"/>
          </w:r>
          <w:r>
            <w:t>4</w:t>
          </w:r>
          <w:r>
            <w:fldChar w:fldCharType="end"/>
          </w:r>
          <w:r>
            <w:fldChar w:fldCharType="end"/>
          </w:r>
        </w:p>
        <w:p w14:paraId="70AA903B">
          <w:pPr>
            <w:pStyle w:val="18"/>
            <w:tabs>
              <w:tab w:val="right" w:leader="dot" w:pos="8306"/>
            </w:tabs>
          </w:pPr>
          <w:r>
            <w:fldChar w:fldCharType="begin"/>
          </w:r>
          <w:r>
            <w:instrText xml:space="preserve"> HYPERLINK \l _Toc29119 </w:instrText>
          </w:r>
          <w:r>
            <w:fldChar w:fldCharType="separate"/>
          </w:r>
          <w:r>
            <w:rPr>
              <w:rFonts w:hint="default"/>
              <w:lang w:val="en-US" w:eastAsia="zh-CN"/>
            </w:rPr>
            <w:t>3.4. 研发部</w:t>
          </w:r>
          <w:r>
            <w:tab/>
          </w:r>
          <w:r>
            <w:fldChar w:fldCharType="begin"/>
          </w:r>
          <w:r>
            <w:instrText xml:space="preserve"> PAGEREF _Toc29119 \h </w:instrText>
          </w:r>
          <w:r>
            <w:fldChar w:fldCharType="separate"/>
          </w:r>
          <w:r>
            <w:t>5</w:t>
          </w:r>
          <w:r>
            <w:fldChar w:fldCharType="end"/>
          </w:r>
          <w:r>
            <w:fldChar w:fldCharType="end"/>
          </w:r>
        </w:p>
        <w:p w14:paraId="7CC05C90">
          <w:pPr>
            <w:pStyle w:val="18"/>
            <w:tabs>
              <w:tab w:val="right" w:leader="dot" w:pos="8306"/>
            </w:tabs>
          </w:pPr>
          <w:r>
            <w:fldChar w:fldCharType="begin"/>
          </w:r>
          <w:r>
            <w:instrText xml:space="preserve"> HYPERLINK \l _Toc19644 </w:instrText>
          </w:r>
          <w:r>
            <w:fldChar w:fldCharType="separate"/>
          </w:r>
          <w:r>
            <w:rPr>
              <w:rFonts w:hint="default"/>
              <w:lang w:val="en-US" w:eastAsia="zh-CN"/>
            </w:rPr>
            <w:t>3.5. 综合部</w:t>
          </w:r>
          <w:r>
            <w:tab/>
          </w:r>
          <w:r>
            <w:fldChar w:fldCharType="begin"/>
          </w:r>
          <w:r>
            <w:instrText xml:space="preserve"> PAGEREF _Toc19644 \h </w:instrText>
          </w:r>
          <w:r>
            <w:fldChar w:fldCharType="separate"/>
          </w:r>
          <w:r>
            <w:t>5</w:t>
          </w:r>
          <w:r>
            <w:fldChar w:fldCharType="end"/>
          </w:r>
          <w:r>
            <w:fldChar w:fldCharType="end"/>
          </w:r>
        </w:p>
        <w:p w14:paraId="1E733621">
          <w:pPr>
            <w:pStyle w:val="18"/>
            <w:tabs>
              <w:tab w:val="right" w:leader="dot" w:pos="8306"/>
            </w:tabs>
          </w:pPr>
          <w:r>
            <w:fldChar w:fldCharType="begin"/>
          </w:r>
          <w:r>
            <w:instrText xml:space="preserve"> HYPERLINK \l _Toc18970 </w:instrText>
          </w:r>
          <w:r>
            <w:fldChar w:fldCharType="separate"/>
          </w:r>
          <w:r>
            <w:rPr>
              <w:rFonts w:hint="default"/>
              <w:lang w:val="en-US" w:eastAsia="zh-CN"/>
            </w:rPr>
            <w:t>3.6. 采购部</w:t>
          </w:r>
          <w:r>
            <w:tab/>
          </w:r>
          <w:r>
            <w:fldChar w:fldCharType="begin"/>
          </w:r>
          <w:r>
            <w:instrText xml:space="preserve"> PAGEREF _Toc18970 \h </w:instrText>
          </w:r>
          <w:r>
            <w:fldChar w:fldCharType="separate"/>
          </w:r>
          <w:r>
            <w:t>5</w:t>
          </w:r>
          <w:r>
            <w:fldChar w:fldCharType="end"/>
          </w:r>
          <w:r>
            <w:fldChar w:fldCharType="end"/>
          </w:r>
        </w:p>
        <w:p w14:paraId="4E353260">
          <w:pPr>
            <w:pStyle w:val="18"/>
            <w:tabs>
              <w:tab w:val="right" w:leader="dot" w:pos="8306"/>
            </w:tabs>
          </w:pPr>
          <w:r>
            <w:fldChar w:fldCharType="begin"/>
          </w:r>
          <w:r>
            <w:instrText xml:space="preserve"> HYPERLINK \l _Toc29811 </w:instrText>
          </w:r>
          <w:r>
            <w:fldChar w:fldCharType="separate"/>
          </w:r>
          <w:r>
            <w:rPr>
              <w:rFonts w:hint="default"/>
              <w:lang w:val="en-US" w:eastAsia="zh-CN"/>
            </w:rPr>
            <w:t>3.7. 应急管理部</w:t>
          </w:r>
          <w:r>
            <w:tab/>
          </w:r>
          <w:r>
            <w:fldChar w:fldCharType="begin"/>
          </w:r>
          <w:r>
            <w:instrText xml:space="preserve"> PAGEREF _Toc29811 \h </w:instrText>
          </w:r>
          <w:r>
            <w:fldChar w:fldCharType="separate"/>
          </w:r>
          <w:r>
            <w:t>5</w:t>
          </w:r>
          <w:r>
            <w:fldChar w:fldCharType="end"/>
          </w:r>
          <w:r>
            <w:fldChar w:fldCharType="end"/>
          </w:r>
        </w:p>
        <w:p w14:paraId="587FC1E4">
          <w:pPr>
            <w:pStyle w:val="16"/>
            <w:tabs>
              <w:tab w:val="right" w:leader="dot" w:pos="8306"/>
            </w:tabs>
          </w:pPr>
          <w:r>
            <w:fldChar w:fldCharType="begin"/>
          </w:r>
          <w:r>
            <w:instrText xml:space="preserve"> HYPERLINK \l _Toc26049 </w:instrText>
          </w:r>
          <w:r>
            <w:fldChar w:fldCharType="separate"/>
          </w:r>
          <w:r>
            <w:rPr>
              <w:rFonts w:hint="default"/>
              <w:lang w:val="en-US" w:eastAsia="zh-CN"/>
            </w:rPr>
            <w:t>4. 内审活动流程</w:t>
          </w:r>
          <w:r>
            <w:tab/>
          </w:r>
          <w:r>
            <w:fldChar w:fldCharType="begin"/>
          </w:r>
          <w:r>
            <w:instrText xml:space="preserve"> PAGEREF _Toc26049 \h </w:instrText>
          </w:r>
          <w:r>
            <w:fldChar w:fldCharType="separate"/>
          </w:r>
          <w:r>
            <w:t>6</w:t>
          </w:r>
          <w:r>
            <w:fldChar w:fldCharType="end"/>
          </w:r>
          <w:r>
            <w:fldChar w:fldCharType="end"/>
          </w:r>
        </w:p>
        <w:p w14:paraId="7D3E5539">
          <w:pPr>
            <w:pStyle w:val="18"/>
            <w:tabs>
              <w:tab w:val="right" w:leader="dot" w:pos="8306"/>
            </w:tabs>
          </w:pPr>
          <w:r>
            <w:fldChar w:fldCharType="begin"/>
          </w:r>
          <w:r>
            <w:instrText xml:space="preserve"> HYPERLINK \l _Toc31161 </w:instrText>
          </w:r>
          <w:r>
            <w:fldChar w:fldCharType="separate"/>
          </w:r>
          <w:r>
            <w:rPr>
              <w:rFonts w:hint="default"/>
              <w:lang w:val="en-US" w:eastAsia="zh-CN"/>
            </w:rPr>
            <w:t>4.1. 内部审核计划制定</w:t>
          </w:r>
          <w:r>
            <w:tab/>
          </w:r>
          <w:r>
            <w:fldChar w:fldCharType="begin"/>
          </w:r>
          <w:r>
            <w:instrText xml:space="preserve"> PAGEREF _Toc31161 \h </w:instrText>
          </w:r>
          <w:r>
            <w:fldChar w:fldCharType="separate"/>
          </w:r>
          <w:r>
            <w:t>6</w:t>
          </w:r>
          <w:r>
            <w:fldChar w:fldCharType="end"/>
          </w:r>
          <w:r>
            <w:fldChar w:fldCharType="end"/>
          </w:r>
        </w:p>
        <w:p w14:paraId="7C9C1EB5">
          <w:pPr>
            <w:pStyle w:val="18"/>
            <w:tabs>
              <w:tab w:val="right" w:leader="dot" w:pos="8306"/>
            </w:tabs>
          </w:pPr>
          <w:r>
            <w:fldChar w:fldCharType="begin"/>
          </w:r>
          <w:r>
            <w:instrText xml:space="preserve"> HYPERLINK \l _Toc7000 </w:instrText>
          </w:r>
          <w:r>
            <w:fldChar w:fldCharType="separate"/>
          </w:r>
          <w:r>
            <w:rPr>
              <w:rFonts w:hint="default"/>
              <w:lang w:val="en-US" w:eastAsia="zh-CN"/>
            </w:rPr>
            <w:t>4.2. 成立内部审核小组</w:t>
          </w:r>
          <w:r>
            <w:tab/>
          </w:r>
          <w:r>
            <w:fldChar w:fldCharType="begin"/>
          </w:r>
          <w:r>
            <w:instrText xml:space="preserve"> PAGEREF _Toc7000 \h </w:instrText>
          </w:r>
          <w:r>
            <w:fldChar w:fldCharType="separate"/>
          </w:r>
          <w:r>
            <w:t>6</w:t>
          </w:r>
          <w:r>
            <w:fldChar w:fldCharType="end"/>
          </w:r>
          <w:r>
            <w:fldChar w:fldCharType="end"/>
          </w:r>
        </w:p>
        <w:p w14:paraId="4430E78F">
          <w:pPr>
            <w:pStyle w:val="18"/>
            <w:tabs>
              <w:tab w:val="right" w:leader="dot" w:pos="8306"/>
            </w:tabs>
          </w:pPr>
          <w:r>
            <w:fldChar w:fldCharType="begin"/>
          </w:r>
          <w:r>
            <w:instrText xml:space="preserve"> HYPERLINK \l _Toc7771 </w:instrText>
          </w:r>
          <w:r>
            <w:fldChar w:fldCharType="separate"/>
          </w:r>
          <w:r>
            <w:rPr>
              <w:rFonts w:hint="default"/>
              <w:lang w:val="en-US" w:eastAsia="zh-CN"/>
            </w:rPr>
            <w:t>4.3. 收集并审阅有关文件和记录</w:t>
          </w:r>
          <w:r>
            <w:tab/>
          </w:r>
          <w:r>
            <w:fldChar w:fldCharType="begin"/>
          </w:r>
          <w:r>
            <w:instrText xml:space="preserve"> PAGEREF _Toc7771 \h </w:instrText>
          </w:r>
          <w:r>
            <w:fldChar w:fldCharType="separate"/>
          </w:r>
          <w:r>
            <w:t>7</w:t>
          </w:r>
          <w:r>
            <w:fldChar w:fldCharType="end"/>
          </w:r>
          <w:r>
            <w:fldChar w:fldCharType="end"/>
          </w:r>
        </w:p>
        <w:p w14:paraId="086EA6C4">
          <w:pPr>
            <w:pStyle w:val="18"/>
            <w:tabs>
              <w:tab w:val="right" w:leader="dot" w:pos="8306"/>
            </w:tabs>
          </w:pPr>
          <w:r>
            <w:fldChar w:fldCharType="begin"/>
          </w:r>
          <w:r>
            <w:instrText xml:space="preserve"> HYPERLINK \l _Toc7264 </w:instrText>
          </w:r>
          <w:r>
            <w:fldChar w:fldCharType="separate"/>
          </w:r>
          <w:r>
            <w:rPr>
              <w:rFonts w:hint="default"/>
              <w:lang w:val="en-US" w:eastAsia="zh-CN"/>
            </w:rPr>
            <w:t>4.4. 内审执行</w:t>
          </w:r>
          <w:r>
            <w:tab/>
          </w:r>
          <w:r>
            <w:fldChar w:fldCharType="begin"/>
          </w:r>
          <w:r>
            <w:instrText xml:space="preserve"> PAGEREF _Toc7264 \h </w:instrText>
          </w:r>
          <w:r>
            <w:fldChar w:fldCharType="separate"/>
          </w:r>
          <w:r>
            <w:t>7</w:t>
          </w:r>
          <w:r>
            <w:fldChar w:fldCharType="end"/>
          </w:r>
          <w:r>
            <w:fldChar w:fldCharType="end"/>
          </w:r>
        </w:p>
        <w:p w14:paraId="5CBA2D20">
          <w:pPr>
            <w:pStyle w:val="13"/>
            <w:tabs>
              <w:tab w:val="right" w:leader="dot" w:pos="8306"/>
            </w:tabs>
          </w:pPr>
          <w:r>
            <w:fldChar w:fldCharType="begin"/>
          </w:r>
          <w:r>
            <w:instrText xml:space="preserve"> HYPERLINK \l _Toc4368 </w:instrText>
          </w:r>
          <w:r>
            <w:fldChar w:fldCharType="separate"/>
          </w:r>
          <w:r>
            <w:rPr>
              <w:rFonts w:hint="default"/>
              <w:lang w:val="en-US" w:eastAsia="zh-CN"/>
            </w:rPr>
            <w:t>4.4.1. 内审首次会议</w:t>
          </w:r>
          <w:r>
            <w:tab/>
          </w:r>
          <w:r>
            <w:fldChar w:fldCharType="begin"/>
          </w:r>
          <w:r>
            <w:instrText xml:space="preserve"> PAGEREF _Toc4368 \h </w:instrText>
          </w:r>
          <w:r>
            <w:fldChar w:fldCharType="separate"/>
          </w:r>
          <w:r>
            <w:t>7</w:t>
          </w:r>
          <w:r>
            <w:fldChar w:fldCharType="end"/>
          </w:r>
          <w:r>
            <w:fldChar w:fldCharType="end"/>
          </w:r>
        </w:p>
        <w:p w14:paraId="7665F63E">
          <w:pPr>
            <w:pStyle w:val="13"/>
            <w:tabs>
              <w:tab w:val="right" w:leader="dot" w:pos="8306"/>
            </w:tabs>
          </w:pPr>
          <w:r>
            <w:fldChar w:fldCharType="begin"/>
          </w:r>
          <w:r>
            <w:instrText xml:space="preserve"> HYPERLINK \l _Toc6899 </w:instrText>
          </w:r>
          <w:r>
            <w:fldChar w:fldCharType="separate"/>
          </w:r>
          <w:r>
            <w:rPr>
              <w:rFonts w:hint="default"/>
              <w:lang w:val="en-US" w:eastAsia="zh-CN"/>
            </w:rPr>
            <w:t>4.4.2. 现场收集客观证据</w:t>
          </w:r>
          <w:r>
            <w:tab/>
          </w:r>
          <w:r>
            <w:fldChar w:fldCharType="begin"/>
          </w:r>
          <w:r>
            <w:instrText xml:space="preserve"> PAGEREF _Toc6899 \h </w:instrText>
          </w:r>
          <w:r>
            <w:fldChar w:fldCharType="separate"/>
          </w:r>
          <w:r>
            <w:t>8</w:t>
          </w:r>
          <w:r>
            <w:fldChar w:fldCharType="end"/>
          </w:r>
          <w:r>
            <w:fldChar w:fldCharType="end"/>
          </w:r>
        </w:p>
        <w:p w14:paraId="0F53F9DD">
          <w:pPr>
            <w:pStyle w:val="13"/>
            <w:tabs>
              <w:tab w:val="right" w:leader="dot" w:pos="8306"/>
            </w:tabs>
          </w:pPr>
          <w:r>
            <w:fldChar w:fldCharType="begin"/>
          </w:r>
          <w:r>
            <w:instrText xml:space="preserve"> HYPERLINK \l _Toc26852 </w:instrText>
          </w:r>
          <w:r>
            <w:fldChar w:fldCharType="separate"/>
          </w:r>
          <w:r>
            <w:rPr>
              <w:rFonts w:hint="default"/>
              <w:lang w:val="en-US" w:eastAsia="zh-CN"/>
            </w:rPr>
            <w:t>4.4.3. 确认不符合项</w:t>
          </w:r>
          <w:r>
            <w:tab/>
          </w:r>
          <w:r>
            <w:fldChar w:fldCharType="begin"/>
          </w:r>
          <w:r>
            <w:instrText xml:space="preserve"> PAGEREF _Toc26852 \h </w:instrText>
          </w:r>
          <w:r>
            <w:fldChar w:fldCharType="separate"/>
          </w:r>
          <w:r>
            <w:t>8</w:t>
          </w:r>
          <w:r>
            <w:fldChar w:fldCharType="end"/>
          </w:r>
          <w:r>
            <w:fldChar w:fldCharType="end"/>
          </w:r>
        </w:p>
        <w:p w14:paraId="46E00458">
          <w:pPr>
            <w:pStyle w:val="13"/>
            <w:tabs>
              <w:tab w:val="right" w:leader="dot" w:pos="8306"/>
            </w:tabs>
          </w:pPr>
          <w:r>
            <w:fldChar w:fldCharType="begin"/>
          </w:r>
          <w:r>
            <w:instrText xml:space="preserve"> HYPERLINK \l _Toc4596 </w:instrText>
          </w:r>
          <w:r>
            <w:fldChar w:fldCharType="separate"/>
          </w:r>
          <w:r>
            <w:rPr>
              <w:rFonts w:hint="default"/>
              <w:lang w:val="en-US" w:eastAsia="zh-CN"/>
            </w:rPr>
            <w:t>4.4.4. 内审末次会议</w:t>
          </w:r>
          <w:r>
            <w:tab/>
          </w:r>
          <w:r>
            <w:fldChar w:fldCharType="begin"/>
          </w:r>
          <w:r>
            <w:instrText xml:space="preserve"> PAGEREF _Toc4596 \h </w:instrText>
          </w:r>
          <w:r>
            <w:fldChar w:fldCharType="separate"/>
          </w:r>
          <w:r>
            <w:t>8</w:t>
          </w:r>
          <w:r>
            <w:fldChar w:fldCharType="end"/>
          </w:r>
          <w:r>
            <w:fldChar w:fldCharType="end"/>
          </w:r>
        </w:p>
        <w:p w14:paraId="31550A57">
          <w:pPr>
            <w:pStyle w:val="13"/>
            <w:tabs>
              <w:tab w:val="right" w:leader="dot" w:pos="8306"/>
            </w:tabs>
          </w:pPr>
          <w:r>
            <w:fldChar w:fldCharType="begin"/>
          </w:r>
          <w:r>
            <w:instrText xml:space="preserve"> HYPERLINK \l _Toc7435 </w:instrText>
          </w:r>
          <w:r>
            <w:fldChar w:fldCharType="separate"/>
          </w:r>
          <w:r>
            <w:rPr>
              <w:rFonts w:hint="default"/>
              <w:lang w:val="en-US" w:eastAsia="zh-CN"/>
            </w:rPr>
            <w:t>4.4.5. 编制内部审核报告</w:t>
          </w:r>
          <w:r>
            <w:tab/>
          </w:r>
          <w:r>
            <w:fldChar w:fldCharType="begin"/>
          </w:r>
          <w:r>
            <w:instrText xml:space="preserve"> PAGEREF _Toc7435 \h </w:instrText>
          </w:r>
          <w:r>
            <w:fldChar w:fldCharType="separate"/>
          </w:r>
          <w:r>
            <w:t>9</w:t>
          </w:r>
          <w:r>
            <w:fldChar w:fldCharType="end"/>
          </w:r>
          <w:r>
            <w:fldChar w:fldCharType="end"/>
          </w:r>
        </w:p>
        <w:p w14:paraId="0959220D">
          <w:pPr>
            <w:pStyle w:val="13"/>
            <w:tabs>
              <w:tab w:val="right" w:leader="dot" w:pos="8306"/>
            </w:tabs>
          </w:pPr>
          <w:r>
            <w:fldChar w:fldCharType="begin"/>
          </w:r>
          <w:r>
            <w:instrText xml:space="preserve"> HYPERLINK \l _Toc27680 </w:instrText>
          </w:r>
          <w:r>
            <w:fldChar w:fldCharType="separate"/>
          </w:r>
          <w:r>
            <w:rPr>
              <w:rFonts w:hint="default"/>
              <w:lang w:val="en-US" w:eastAsia="zh-CN"/>
            </w:rPr>
            <w:t>4.4.6. 跟踪验证</w:t>
          </w:r>
          <w:r>
            <w:tab/>
          </w:r>
          <w:r>
            <w:fldChar w:fldCharType="begin"/>
          </w:r>
          <w:r>
            <w:instrText xml:space="preserve"> PAGEREF _Toc27680 \h </w:instrText>
          </w:r>
          <w:r>
            <w:fldChar w:fldCharType="separate"/>
          </w:r>
          <w:r>
            <w:t>9</w:t>
          </w:r>
          <w:r>
            <w:fldChar w:fldCharType="end"/>
          </w:r>
          <w:r>
            <w:fldChar w:fldCharType="end"/>
          </w:r>
        </w:p>
        <w:p w14:paraId="29A39FF5">
          <w:pPr>
            <w:pStyle w:val="16"/>
            <w:tabs>
              <w:tab w:val="right" w:leader="dot" w:pos="8306"/>
            </w:tabs>
          </w:pPr>
          <w:r>
            <w:fldChar w:fldCharType="begin"/>
          </w:r>
          <w:r>
            <w:instrText xml:space="preserve"> HYPERLINK \l _Toc25664 </w:instrText>
          </w:r>
          <w:r>
            <w:fldChar w:fldCharType="separate"/>
          </w:r>
          <w:r>
            <w:rPr>
              <w:rFonts w:hint="default"/>
              <w:lang w:val="en-US" w:eastAsia="zh-CN"/>
            </w:rPr>
            <w:t xml:space="preserve">5. </w:t>
          </w:r>
          <w:r>
            <w:rPr>
              <w:rFonts w:hint="eastAsia"/>
              <w:lang w:val="en-US" w:eastAsia="zh-CN"/>
            </w:rPr>
            <w:t>KPI指标</w:t>
          </w:r>
          <w:r>
            <w:tab/>
          </w:r>
          <w:r>
            <w:fldChar w:fldCharType="begin"/>
          </w:r>
          <w:r>
            <w:instrText xml:space="preserve"> PAGEREF _Toc25664 \h </w:instrText>
          </w:r>
          <w:r>
            <w:fldChar w:fldCharType="separate"/>
          </w:r>
          <w:r>
            <w:t>10</w:t>
          </w:r>
          <w:r>
            <w:fldChar w:fldCharType="end"/>
          </w:r>
          <w:r>
            <w:fldChar w:fldCharType="end"/>
          </w:r>
        </w:p>
        <w:p w14:paraId="4F61117C">
          <w:pPr>
            <w:pStyle w:val="16"/>
            <w:tabs>
              <w:tab w:val="right" w:leader="dot" w:pos="8306"/>
            </w:tabs>
          </w:pPr>
          <w:r>
            <w:fldChar w:fldCharType="begin"/>
          </w:r>
          <w:r>
            <w:instrText xml:space="preserve"> HYPERLINK \l _Toc26738 </w:instrText>
          </w:r>
          <w:r>
            <w:fldChar w:fldCharType="separate"/>
          </w:r>
          <w:r>
            <w:rPr>
              <w:rFonts w:hint="default"/>
              <w:lang w:val="en-US" w:eastAsia="zh-CN"/>
            </w:rPr>
            <w:t xml:space="preserve">6. </w:t>
          </w:r>
          <w:r>
            <w:rPr>
              <w:rFonts w:hint="eastAsia"/>
              <w:lang w:val="en-US" w:eastAsia="zh-CN"/>
            </w:rPr>
            <w:t>输出的文件和记录</w:t>
          </w:r>
          <w:r>
            <w:tab/>
          </w:r>
          <w:r>
            <w:fldChar w:fldCharType="begin"/>
          </w:r>
          <w:r>
            <w:instrText xml:space="preserve"> PAGEREF _Toc26738 \h </w:instrText>
          </w:r>
          <w:r>
            <w:fldChar w:fldCharType="separate"/>
          </w:r>
          <w:r>
            <w:t>10</w:t>
          </w:r>
          <w:r>
            <w:fldChar w:fldCharType="end"/>
          </w:r>
          <w:r>
            <w:fldChar w:fldCharType="end"/>
          </w:r>
        </w:p>
        <w:p w14:paraId="71103E36">
          <w:r>
            <w:fldChar w:fldCharType="end"/>
          </w:r>
        </w:p>
      </w:sdtContent>
    </w:sdt>
    <w:p w14:paraId="362002F4">
      <w:pPr>
        <w:jc w:val="center"/>
        <w:rPr>
          <w:rFonts w:hint="eastAsia" w:eastAsia="宋体"/>
          <w:lang w:val="en-US" w:eastAsia="zh-CN"/>
        </w:rPr>
      </w:pPr>
      <w:r>
        <w:rPr>
          <w:rFonts w:hint="eastAsia"/>
          <w:lang w:val="en-US" w:eastAsia="zh-CN"/>
        </w:rPr>
        <w:t>表目录</w:t>
      </w:r>
    </w:p>
    <w:p w14:paraId="35058956">
      <w:pPr>
        <w:pStyle w:val="17"/>
        <w:tabs>
          <w:tab w:val="right" w:leader="dot" w:pos="8306"/>
        </w:tabs>
      </w:pPr>
      <w:bookmarkStart w:id="50" w:name="_GoBack"/>
      <w:bookmarkEnd w:id="50"/>
      <w:r>
        <w:fldChar w:fldCharType="begin"/>
      </w:r>
      <w:r>
        <w:instrText xml:space="preserve">TOC \h \c "表"</w:instrText>
      </w:r>
      <w:r>
        <w:fldChar w:fldCharType="separate"/>
      </w:r>
      <w:r>
        <w:fldChar w:fldCharType="begin"/>
      </w:r>
      <w:r>
        <w:instrText xml:space="preserve"> HYPERLINK \l _Toc14950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_Toc14950 \h </w:instrText>
      </w:r>
      <w:r>
        <w:fldChar w:fldCharType="separate"/>
      </w:r>
      <w:r>
        <w:t>10</w:t>
      </w:r>
      <w:r>
        <w:fldChar w:fldCharType="end"/>
      </w:r>
      <w:r>
        <w:fldChar w:fldCharType="end"/>
      </w:r>
    </w:p>
    <w:p w14:paraId="26822EF5">
      <w:pPr>
        <w:pStyle w:val="17"/>
        <w:tabs>
          <w:tab w:val="right" w:leader="dot" w:pos="8306"/>
        </w:tabs>
      </w:pPr>
      <w:r>
        <w:fldChar w:fldCharType="begin"/>
      </w:r>
      <w:r>
        <w:instrText xml:space="preserve"> HYPERLINK \l _Toc5913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输出文件和记录表</w:t>
      </w:r>
      <w:r>
        <w:tab/>
      </w:r>
      <w:r>
        <w:fldChar w:fldCharType="begin"/>
      </w:r>
      <w:r>
        <w:instrText xml:space="preserve"> PAGEREF _Toc5913 \h </w:instrText>
      </w:r>
      <w:r>
        <w:fldChar w:fldCharType="separate"/>
      </w:r>
      <w:r>
        <w:t>10</w:t>
      </w:r>
      <w:r>
        <w:fldChar w:fldCharType="end"/>
      </w:r>
      <w:r>
        <w:fldChar w:fldCharType="end"/>
      </w:r>
    </w:p>
    <w:p w14:paraId="68487EAA">
      <w:r>
        <w:fldChar w:fldCharType="end"/>
      </w:r>
    </w:p>
    <w:p w14:paraId="03F9E93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5FB4E25C">
      <w:pPr>
        <w:pStyle w:val="30"/>
        <w:bidi w:val="0"/>
        <w:rPr>
          <w:rFonts w:hint="default"/>
          <w:lang w:val="en-US" w:eastAsia="zh-CN"/>
        </w:rPr>
      </w:pPr>
      <w:bookmarkStart w:id="1" w:name="_Toc4239"/>
      <w:bookmarkStart w:id="2" w:name="_Toc27135"/>
      <w:r>
        <w:rPr>
          <w:rFonts w:hint="default"/>
          <w:lang w:val="en-US" w:eastAsia="zh-CN"/>
        </w:rPr>
        <w:t>目的</w:t>
      </w:r>
      <w:bookmarkEnd w:id="1"/>
      <w:bookmarkEnd w:id="2"/>
    </w:p>
    <w:p w14:paraId="0733BC93">
      <w:pPr>
        <w:pStyle w:val="31"/>
        <w:bidi w:val="0"/>
        <w:rPr>
          <w:rFonts w:hint="default"/>
          <w:lang w:val="en-US" w:eastAsia="zh-CN"/>
        </w:rPr>
      </w:pPr>
      <w:r>
        <w:rPr>
          <w:rFonts w:hint="default"/>
          <w:lang w:val="en-US" w:eastAsia="zh-CN"/>
        </w:rPr>
        <w:t>本制度旨在为华风数据(深圳)有限公司（以下简称“公司”）信息技术服务标准体系的内部审核提供依据。通过组织内部审核活动，检查运维服务管理活动及其结果是否符合ITSS标准及公司相关制度要求，为体系的持续改进提供依据，确保运维服务管理体系有效运行。</w:t>
      </w:r>
    </w:p>
    <w:p w14:paraId="4E15415A">
      <w:pPr>
        <w:pStyle w:val="30"/>
        <w:bidi w:val="0"/>
        <w:rPr>
          <w:rFonts w:hint="default"/>
          <w:lang w:val="en-US" w:eastAsia="zh-CN"/>
        </w:rPr>
      </w:pPr>
      <w:bookmarkStart w:id="3" w:name="_Toc14442"/>
      <w:bookmarkStart w:id="4" w:name="_Toc27241"/>
      <w:r>
        <w:rPr>
          <w:rFonts w:hint="default"/>
          <w:lang w:val="en-US" w:eastAsia="zh-CN"/>
        </w:rPr>
        <w:t>范围</w:t>
      </w:r>
      <w:bookmarkEnd w:id="3"/>
      <w:bookmarkEnd w:id="4"/>
    </w:p>
    <w:p w14:paraId="03B9B005">
      <w:pPr>
        <w:pStyle w:val="31"/>
        <w:bidi w:val="0"/>
        <w:rPr>
          <w:rFonts w:hint="default"/>
          <w:lang w:val="en-US" w:eastAsia="zh-CN"/>
        </w:rPr>
      </w:pPr>
      <w:r>
        <w:rPr>
          <w:rFonts w:hint="default"/>
          <w:lang w:val="en-US" w:eastAsia="zh-CN"/>
        </w:rPr>
        <w:t>本制度适用于公司信息技术服务标准体系内审活动的组织与管理，覆盖运维服务相关的所有部门：运维部、研发部、产品质量部、综合部、采购部、应急管理部。</w:t>
      </w:r>
    </w:p>
    <w:p w14:paraId="35F7F83C">
      <w:pPr>
        <w:pStyle w:val="30"/>
        <w:bidi w:val="0"/>
        <w:rPr>
          <w:rFonts w:hint="default"/>
          <w:lang w:val="en-US" w:eastAsia="zh-CN"/>
        </w:rPr>
      </w:pPr>
      <w:bookmarkStart w:id="5" w:name="_Toc21612"/>
      <w:bookmarkStart w:id="6" w:name="_Toc9924"/>
      <w:r>
        <w:rPr>
          <w:rFonts w:hint="default"/>
          <w:lang w:val="en-US" w:eastAsia="zh-CN"/>
        </w:rPr>
        <w:t>职责与权限</w:t>
      </w:r>
      <w:bookmarkEnd w:id="5"/>
      <w:bookmarkEnd w:id="6"/>
    </w:p>
    <w:p w14:paraId="1CD40F9F">
      <w:pPr>
        <w:pStyle w:val="32"/>
        <w:bidi w:val="0"/>
        <w:rPr>
          <w:rFonts w:hint="default"/>
          <w:lang w:val="en-US" w:eastAsia="zh-CN"/>
        </w:rPr>
      </w:pPr>
      <w:bookmarkStart w:id="7" w:name="_Toc18321"/>
      <w:bookmarkStart w:id="8" w:name="_Toc22313"/>
      <w:r>
        <w:rPr>
          <w:rFonts w:hint="default"/>
          <w:lang w:val="en-US" w:eastAsia="zh-CN"/>
        </w:rPr>
        <w:t>管理层</w:t>
      </w:r>
      <w:bookmarkEnd w:id="7"/>
      <w:bookmarkEnd w:id="8"/>
    </w:p>
    <w:p w14:paraId="25B64A8F">
      <w:pPr>
        <w:pStyle w:val="31"/>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负责本制度的审批工作。</w:t>
      </w:r>
    </w:p>
    <w:p w14:paraId="72F2528C">
      <w:pPr>
        <w:pStyle w:val="31"/>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负责内审活动的管理和工作协调。</w:t>
      </w:r>
    </w:p>
    <w:p w14:paraId="75DAD3E8">
      <w:pPr>
        <w:pStyle w:val="31"/>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负责对内审结果进行审批。</w:t>
      </w:r>
    </w:p>
    <w:p w14:paraId="0FA28139">
      <w:pPr>
        <w:pStyle w:val="31"/>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为内审活动提供必要的资源支持。</w:t>
      </w:r>
    </w:p>
    <w:p w14:paraId="344F7627">
      <w:pPr>
        <w:pStyle w:val="32"/>
        <w:bidi w:val="0"/>
        <w:rPr>
          <w:rFonts w:hint="default"/>
          <w:lang w:val="en-US" w:eastAsia="zh-CN"/>
        </w:rPr>
      </w:pPr>
      <w:bookmarkStart w:id="9" w:name="_Toc16833"/>
      <w:bookmarkStart w:id="10" w:name="_Toc3088"/>
      <w:r>
        <w:rPr>
          <w:rFonts w:hint="default"/>
          <w:lang w:val="en-US" w:eastAsia="zh-CN"/>
        </w:rPr>
        <w:t>产品质量部</w:t>
      </w:r>
      <w:bookmarkEnd w:id="9"/>
      <w:bookmarkEnd w:id="10"/>
    </w:p>
    <w:p w14:paraId="08A8456F">
      <w:pPr>
        <w:pStyle w:val="31"/>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负责本制度的制定、解释和修订。</w:t>
      </w:r>
    </w:p>
    <w:p w14:paraId="1F975B71">
      <w:pPr>
        <w:pStyle w:val="31"/>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负责编制年度内部审核计划。</w:t>
      </w:r>
    </w:p>
    <w:p w14:paraId="554C904D">
      <w:pPr>
        <w:pStyle w:val="31"/>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负责组织内审活动的实施。</w:t>
      </w:r>
    </w:p>
    <w:p w14:paraId="19DD8549">
      <w:pPr>
        <w:pStyle w:val="31"/>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负责内审整改工作的跟踪和验证关闭。</w:t>
      </w:r>
    </w:p>
    <w:p w14:paraId="5B938813">
      <w:pPr>
        <w:pStyle w:val="31"/>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负责内审员队伍的建设和管理。</w:t>
      </w:r>
    </w:p>
    <w:p w14:paraId="6D1D58F5">
      <w:pPr>
        <w:pStyle w:val="31"/>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负责将内审结果作为管理评审输入。</w:t>
      </w:r>
    </w:p>
    <w:p w14:paraId="4ABD1262">
      <w:pPr>
        <w:pStyle w:val="32"/>
        <w:bidi w:val="0"/>
        <w:rPr>
          <w:rFonts w:hint="default"/>
          <w:lang w:val="en-US" w:eastAsia="zh-CN"/>
        </w:rPr>
      </w:pPr>
      <w:bookmarkStart w:id="11" w:name="_Toc25282"/>
      <w:bookmarkStart w:id="12" w:name="_Toc12744"/>
      <w:r>
        <w:rPr>
          <w:rFonts w:hint="default"/>
          <w:lang w:val="en-US" w:eastAsia="zh-CN"/>
        </w:rPr>
        <w:t>运维部</w:t>
      </w:r>
      <w:bookmarkEnd w:id="11"/>
      <w:bookmarkEnd w:id="12"/>
    </w:p>
    <w:p w14:paraId="468329C0">
      <w:pPr>
        <w:pStyle w:val="31"/>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配合产品质量部制定内部审核计划。</w:t>
      </w:r>
    </w:p>
    <w:p w14:paraId="20BC9D2B">
      <w:pPr>
        <w:pStyle w:val="31"/>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按本制度要求配合审核小组进行内审活动准备和实施。</w:t>
      </w:r>
    </w:p>
    <w:p w14:paraId="1D6D81F0">
      <w:pPr>
        <w:pStyle w:val="31"/>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确保本部门参与审核工作的内审员与被审核部门无直接关系。</w:t>
      </w:r>
    </w:p>
    <w:p w14:paraId="64960FF3">
      <w:pPr>
        <w:pStyle w:val="31"/>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负责根据内审报告，对本部门的不符合项进行整改实施。</w:t>
      </w:r>
    </w:p>
    <w:p w14:paraId="7F11503D">
      <w:pPr>
        <w:pStyle w:val="32"/>
        <w:bidi w:val="0"/>
        <w:rPr>
          <w:rFonts w:hint="default"/>
          <w:lang w:val="en-US" w:eastAsia="zh-CN"/>
        </w:rPr>
      </w:pPr>
      <w:bookmarkStart w:id="13" w:name="_Toc28486"/>
      <w:bookmarkStart w:id="14" w:name="_Toc29119"/>
      <w:r>
        <w:rPr>
          <w:rFonts w:hint="default"/>
          <w:lang w:val="en-US" w:eastAsia="zh-CN"/>
        </w:rPr>
        <w:t>研发部</w:t>
      </w:r>
      <w:bookmarkEnd w:id="13"/>
      <w:bookmarkEnd w:id="14"/>
    </w:p>
    <w:p w14:paraId="74C50D92">
      <w:pPr>
        <w:pStyle w:val="31"/>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配合产品质量部制定内部审核计划。</w:t>
      </w:r>
    </w:p>
    <w:p w14:paraId="480B7997">
      <w:pPr>
        <w:pStyle w:val="31"/>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按本制度要求配合审核小组进行内审活动准备和实施。</w:t>
      </w:r>
    </w:p>
    <w:p w14:paraId="0A5C5ECF">
      <w:pPr>
        <w:pStyle w:val="31"/>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确保本部门参与审核工作的内审员与被审核部门无直接关系。</w:t>
      </w:r>
    </w:p>
    <w:p w14:paraId="61A84D96">
      <w:pPr>
        <w:pStyle w:val="31"/>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负责根据内审报告，对本部门的不符合项进行整改实施。</w:t>
      </w:r>
    </w:p>
    <w:p w14:paraId="6DD6ED8B">
      <w:pPr>
        <w:pStyle w:val="32"/>
        <w:bidi w:val="0"/>
        <w:rPr>
          <w:rFonts w:hint="default"/>
          <w:lang w:val="en-US" w:eastAsia="zh-CN"/>
        </w:rPr>
      </w:pPr>
      <w:bookmarkStart w:id="15" w:name="_Toc30477"/>
      <w:bookmarkStart w:id="16" w:name="_Toc19644"/>
      <w:r>
        <w:rPr>
          <w:rFonts w:hint="default"/>
          <w:lang w:val="en-US" w:eastAsia="zh-CN"/>
        </w:rPr>
        <w:t>综合部</w:t>
      </w:r>
      <w:bookmarkEnd w:id="15"/>
      <w:bookmarkEnd w:id="16"/>
    </w:p>
    <w:p w14:paraId="276F82CB">
      <w:pPr>
        <w:pStyle w:val="31"/>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配合产品质量部制定内部审核计划。</w:t>
      </w:r>
    </w:p>
    <w:p w14:paraId="2119EFC8">
      <w:pPr>
        <w:pStyle w:val="31"/>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按本制度要求配合审核小组进行内审活动准备和实施。</w:t>
      </w:r>
    </w:p>
    <w:p w14:paraId="03C0E789">
      <w:pPr>
        <w:pStyle w:val="31"/>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确保本部门参与审核工作的内审员与被审核部门无直接关系。</w:t>
      </w:r>
    </w:p>
    <w:p w14:paraId="1B339E3C">
      <w:pPr>
        <w:pStyle w:val="31"/>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负责根据内审报告，对本部门的不符合项进行整改实施。</w:t>
      </w:r>
    </w:p>
    <w:p w14:paraId="56E28FCA">
      <w:pPr>
        <w:pStyle w:val="32"/>
        <w:bidi w:val="0"/>
        <w:rPr>
          <w:rFonts w:hint="default"/>
          <w:lang w:val="en-US" w:eastAsia="zh-CN"/>
        </w:rPr>
      </w:pPr>
      <w:bookmarkStart w:id="17" w:name="_Toc31334"/>
      <w:bookmarkStart w:id="18" w:name="_Toc18970"/>
      <w:r>
        <w:rPr>
          <w:rFonts w:hint="default"/>
          <w:lang w:val="en-US" w:eastAsia="zh-CN"/>
        </w:rPr>
        <w:t>采购部</w:t>
      </w:r>
      <w:bookmarkEnd w:id="17"/>
      <w:bookmarkEnd w:id="18"/>
    </w:p>
    <w:p w14:paraId="1E95476E">
      <w:pPr>
        <w:pStyle w:val="31"/>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配合产品质量部制定内部审核计划。</w:t>
      </w:r>
    </w:p>
    <w:p w14:paraId="6982AF2E">
      <w:pPr>
        <w:pStyle w:val="31"/>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按本制度要求配合审核小组进行内审活动准备和实施。</w:t>
      </w:r>
    </w:p>
    <w:p w14:paraId="6829AA3B">
      <w:pPr>
        <w:pStyle w:val="31"/>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确保本部门参与审核工作的内审员与被审核部门无直接关系。</w:t>
      </w:r>
    </w:p>
    <w:p w14:paraId="6D0414B2">
      <w:pPr>
        <w:pStyle w:val="31"/>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负责根据内审报告，对本部门的不符合项进行整改实施。</w:t>
      </w:r>
    </w:p>
    <w:p w14:paraId="2EF6447E">
      <w:pPr>
        <w:pStyle w:val="32"/>
        <w:bidi w:val="0"/>
        <w:rPr>
          <w:rFonts w:hint="default"/>
          <w:lang w:val="en-US" w:eastAsia="zh-CN"/>
        </w:rPr>
      </w:pPr>
      <w:bookmarkStart w:id="19" w:name="_Toc29811"/>
      <w:bookmarkStart w:id="20" w:name="_Toc19965"/>
      <w:r>
        <w:rPr>
          <w:rFonts w:hint="default"/>
          <w:lang w:val="en-US" w:eastAsia="zh-CN"/>
        </w:rPr>
        <w:t>应急管理部</w:t>
      </w:r>
      <w:bookmarkEnd w:id="19"/>
      <w:bookmarkEnd w:id="20"/>
    </w:p>
    <w:p w14:paraId="391FAAE6">
      <w:pPr>
        <w:pStyle w:val="31"/>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配合产品质量部制定内部审核计划。</w:t>
      </w:r>
    </w:p>
    <w:p w14:paraId="5783F81C">
      <w:pPr>
        <w:pStyle w:val="31"/>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按本制度要求配合审核小组进行内审活动准备和实施。</w:t>
      </w:r>
    </w:p>
    <w:p w14:paraId="6951F509">
      <w:pPr>
        <w:pStyle w:val="31"/>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确保本部门参与审核工作的内审员与被审核部门无直接关系。</w:t>
      </w:r>
    </w:p>
    <w:p w14:paraId="002FCD66">
      <w:pPr>
        <w:pStyle w:val="31"/>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负责根据内审报告，对本部门的不符合项进行整改实施。</w:t>
      </w:r>
    </w:p>
    <w:p w14:paraId="3E817957">
      <w:pPr>
        <w:pStyle w:val="30"/>
        <w:bidi w:val="0"/>
        <w:rPr>
          <w:rFonts w:hint="default"/>
          <w:lang w:val="en-US" w:eastAsia="zh-CN"/>
        </w:rPr>
      </w:pPr>
      <w:bookmarkStart w:id="21" w:name="_Toc28997"/>
      <w:bookmarkStart w:id="22" w:name="_Toc26049"/>
      <w:r>
        <w:rPr>
          <w:rFonts w:hint="default"/>
          <w:lang w:val="en-US" w:eastAsia="zh-CN"/>
        </w:rPr>
        <w:t>内审活动流程</w:t>
      </w:r>
      <w:bookmarkEnd w:id="21"/>
      <w:bookmarkEnd w:id="22"/>
    </w:p>
    <w:p w14:paraId="3B9A8770">
      <w:pPr>
        <w:pStyle w:val="32"/>
        <w:bidi w:val="0"/>
        <w:rPr>
          <w:rFonts w:hint="default"/>
          <w:lang w:val="en-US" w:eastAsia="zh-CN"/>
        </w:rPr>
      </w:pPr>
      <w:bookmarkStart w:id="23" w:name="_Toc18551"/>
      <w:bookmarkStart w:id="24" w:name="_Toc31161"/>
      <w:r>
        <w:rPr>
          <w:rFonts w:hint="default"/>
          <w:lang w:val="en-US" w:eastAsia="zh-CN"/>
        </w:rPr>
        <w:t>内部审核计划制定</w:t>
      </w:r>
      <w:bookmarkEnd w:id="23"/>
      <w:bookmarkEnd w:id="24"/>
    </w:p>
    <w:p w14:paraId="408F94F9">
      <w:pPr>
        <w:pStyle w:val="31"/>
        <w:bidi w:val="0"/>
        <w:rPr>
          <w:rFonts w:hint="default"/>
          <w:lang w:val="en-US" w:eastAsia="zh-CN"/>
        </w:rPr>
      </w:pPr>
      <w:r>
        <w:rPr>
          <w:rFonts w:hint="default"/>
          <w:lang w:val="en-US" w:eastAsia="zh-CN"/>
        </w:rPr>
        <w:t>产品质量部每年</w:t>
      </w:r>
      <w:r>
        <w:rPr>
          <w:rFonts w:hint="eastAsia"/>
          <w:lang w:val="en-US" w:eastAsia="zh-CN"/>
        </w:rPr>
        <w:t>度</w:t>
      </w:r>
      <w:r>
        <w:rPr>
          <w:rFonts w:hint="default"/>
          <w:lang w:val="en-US" w:eastAsia="zh-CN"/>
        </w:rPr>
        <w:t>依据ITSS标准，至少组织一次覆盖公司全范围的运维服务管理体系内部审核活动。</w:t>
      </w:r>
    </w:p>
    <w:p w14:paraId="1D54F88B">
      <w:pPr>
        <w:pStyle w:val="31"/>
        <w:bidi w:val="0"/>
        <w:rPr>
          <w:rFonts w:hint="default"/>
          <w:lang w:val="en-US" w:eastAsia="zh-CN"/>
        </w:rPr>
      </w:pPr>
      <w:r>
        <w:rPr>
          <w:rFonts w:hint="default"/>
          <w:lang w:val="en-US" w:eastAsia="zh-CN"/>
        </w:rPr>
        <w:t>产品质量部负责编制《内部审核计划》，审核范围应覆盖ITSS标准各项要求，包括：</w:t>
      </w:r>
    </w:p>
    <w:p w14:paraId="119BE63D">
      <w:pPr>
        <w:pStyle w:val="31"/>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人员能力域（招聘、</w:t>
      </w:r>
      <w:r>
        <w:rPr>
          <w:rFonts w:hint="eastAsia"/>
          <w:lang w:val="en-US" w:eastAsia="zh-CN"/>
        </w:rPr>
        <w:t>储备、</w:t>
      </w:r>
      <w:r>
        <w:rPr>
          <w:rFonts w:hint="default"/>
          <w:lang w:val="en-US" w:eastAsia="zh-CN"/>
        </w:rPr>
        <w:t>培训、</w:t>
      </w:r>
      <w:r>
        <w:rPr>
          <w:rFonts w:hint="eastAsia"/>
          <w:lang w:val="en-US" w:eastAsia="zh-CN"/>
        </w:rPr>
        <w:t>备份、</w:t>
      </w:r>
      <w:r>
        <w:rPr>
          <w:rFonts w:hint="default"/>
          <w:lang w:val="en-US" w:eastAsia="zh-CN"/>
        </w:rPr>
        <w:t>绩效、岗位等）</w:t>
      </w:r>
    </w:p>
    <w:p w14:paraId="01CC3253">
      <w:pPr>
        <w:pStyle w:val="31"/>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资源能力域（</w:t>
      </w:r>
      <w:r>
        <w:rPr>
          <w:rFonts w:hint="eastAsia"/>
          <w:lang w:val="en-US" w:eastAsia="zh-CN"/>
        </w:rPr>
        <w:t>服务知识</w:t>
      </w:r>
      <w:r>
        <w:rPr>
          <w:rFonts w:hint="default"/>
          <w:lang w:val="en-US" w:eastAsia="zh-CN"/>
        </w:rPr>
        <w:t>、</w:t>
      </w:r>
      <w:r>
        <w:rPr>
          <w:rFonts w:hint="eastAsia"/>
          <w:lang w:val="en-US" w:eastAsia="zh-CN"/>
        </w:rPr>
        <w:t>运维工具</w:t>
      </w:r>
      <w:r>
        <w:rPr>
          <w:rFonts w:hint="default"/>
          <w:lang w:val="en-US" w:eastAsia="zh-CN"/>
        </w:rPr>
        <w:t>、备件库、服务台</w:t>
      </w:r>
      <w:r>
        <w:rPr>
          <w:rFonts w:hint="eastAsia"/>
          <w:lang w:val="en-US" w:eastAsia="zh-CN"/>
        </w:rPr>
        <w:t>、最终软件库、服务数据</w:t>
      </w:r>
      <w:r>
        <w:rPr>
          <w:rFonts w:hint="default"/>
          <w:lang w:val="en-US" w:eastAsia="zh-CN"/>
        </w:rPr>
        <w:t>等）</w:t>
      </w:r>
    </w:p>
    <w:p w14:paraId="2540FA46">
      <w:pPr>
        <w:pStyle w:val="31"/>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技术能力域（技术研发、工具应用、技术方案等）</w:t>
      </w:r>
    </w:p>
    <w:p w14:paraId="150C0EC0">
      <w:pPr>
        <w:pStyle w:val="31"/>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过程能力域（服务级别、事件、问题、变更、配置等11个过程）</w:t>
      </w:r>
    </w:p>
    <w:p w14:paraId="0252014E">
      <w:pPr>
        <w:pStyle w:val="31"/>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交付能力域（交付流程、交付质量、交付文档等）</w:t>
      </w:r>
    </w:p>
    <w:p w14:paraId="0A259EBD">
      <w:pPr>
        <w:pStyle w:val="31"/>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应急能力域（应急预案、应急演练、应急响应等）</w:t>
      </w:r>
    </w:p>
    <w:p w14:paraId="536255A1">
      <w:pPr>
        <w:pStyle w:val="31"/>
        <w:bidi w:val="0"/>
        <w:rPr>
          <w:rFonts w:hint="default"/>
          <w:lang w:val="en-US" w:eastAsia="zh-CN"/>
        </w:rPr>
      </w:pPr>
      <w:r>
        <w:rPr>
          <w:rFonts w:hint="default"/>
          <w:lang w:val="en-US" w:eastAsia="zh-CN"/>
        </w:rPr>
        <w:t>运维服务能力度量活动应在内审活动前完成，以便通过内审活动检查度量指标的正确性和达成情况。</w:t>
      </w:r>
    </w:p>
    <w:p w14:paraId="0D68ED89">
      <w:pPr>
        <w:pStyle w:val="31"/>
        <w:bidi w:val="0"/>
        <w:rPr>
          <w:rFonts w:hint="default"/>
          <w:lang w:val="en-US" w:eastAsia="zh-CN"/>
        </w:rPr>
      </w:pPr>
      <w:r>
        <w:rPr>
          <w:rFonts w:hint="default"/>
          <w:lang w:val="en-US" w:eastAsia="zh-CN"/>
        </w:rPr>
        <w:t>在下列情况下，产品质量部可以提出申请，经总经理批准后，可追加进行内审活动：</w:t>
      </w:r>
    </w:p>
    <w:p w14:paraId="65864916">
      <w:pPr>
        <w:pStyle w:val="31"/>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运维服务重大事件频发时</w:t>
      </w:r>
    </w:p>
    <w:p w14:paraId="4138932B">
      <w:pPr>
        <w:pStyle w:val="31"/>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发生重大变更或重大信息安全事件时</w:t>
      </w:r>
    </w:p>
    <w:p w14:paraId="2AD7D4B2">
      <w:pPr>
        <w:pStyle w:val="31"/>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外部审核之前</w:t>
      </w:r>
    </w:p>
    <w:p w14:paraId="63D7D63C">
      <w:pPr>
        <w:pStyle w:val="31"/>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管理体系发生重大变化时</w:t>
      </w:r>
    </w:p>
    <w:p w14:paraId="17E2F207">
      <w:pPr>
        <w:pStyle w:val="32"/>
        <w:bidi w:val="0"/>
        <w:rPr>
          <w:rFonts w:hint="default"/>
          <w:lang w:val="en-US" w:eastAsia="zh-CN"/>
        </w:rPr>
      </w:pPr>
      <w:bookmarkStart w:id="25" w:name="_Toc28214"/>
      <w:bookmarkStart w:id="26" w:name="_Toc7000"/>
      <w:r>
        <w:rPr>
          <w:rFonts w:hint="default"/>
          <w:lang w:val="en-US" w:eastAsia="zh-CN"/>
        </w:rPr>
        <w:t>成立内部审核小组</w:t>
      </w:r>
      <w:bookmarkEnd w:id="25"/>
      <w:bookmarkEnd w:id="26"/>
    </w:p>
    <w:p w14:paraId="28F74F44">
      <w:pPr>
        <w:pStyle w:val="31"/>
        <w:bidi w:val="0"/>
        <w:rPr>
          <w:rFonts w:hint="default"/>
          <w:lang w:val="en-US" w:eastAsia="zh-CN"/>
        </w:rPr>
      </w:pPr>
      <w:r>
        <w:rPr>
          <w:rFonts w:hint="default"/>
          <w:lang w:val="en-US" w:eastAsia="zh-CN"/>
        </w:rPr>
        <w:t>产品质量部根据被审核部门特点及其工作性质，从公司内部审核员队伍中推选具有资格的合适人选担任内审小组组长，由内审小组组长负责本次审核的具体组织工作。</w:t>
      </w:r>
    </w:p>
    <w:p w14:paraId="312D7832">
      <w:pPr>
        <w:pStyle w:val="31"/>
        <w:bidi w:val="0"/>
        <w:rPr>
          <w:rFonts w:hint="default"/>
          <w:lang w:val="en-US" w:eastAsia="zh-CN"/>
        </w:rPr>
      </w:pPr>
      <w:r>
        <w:rPr>
          <w:rFonts w:hint="default"/>
          <w:lang w:val="en-US" w:eastAsia="zh-CN"/>
        </w:rPr>
        <w:t>由内审小组组长从相关部门中选派具有内审员资格且与被审核部门无直接关系者担任审核组成员，并根据内审计划进行适当分工。</w:t>
      </w:r>
    </w:p>
    <w:p w14:paraId="7D1E57B5">
      <w:pPr>
        <w:pStyle w:val="31"/>
        <w:bidi w:val="0"/>
        <w:rPr>
          <w:rFonts w:hint="default"/>
          <w:lang w:val="en-US" w:eastAsia="zh-CN"/>
        </w:rPr>
      </w:pPr>
      <w:r>
        <w:rPr>
          <w:rFonts w:hint="default"/>
          <w:lang w:val="en-US" w:eastAsia="zh-CN"/>
        </w:rPr>
        <w:t>内审小组成员应具备以下条件：</w:t>
      </w:r>
    </w:p>
    <w:p w14:paraId="30617337">
      <w:pPr>
        <w:pStyle w:val="31"/>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经过ITSS内审员培训并取得资格</w:t>
      </w:r>
    </w:p>
    <w:p w14:paraId="52EC5925">
      <w:pPr>
        <w:pStyle w:val="31"/>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熟悉被审核部门的业务流程</w:t>
      </w:r>
    </w:p>
    <w:p w14:paraId="6228D4DE">
      <w:pPr>
        <w:pStyle w:val="31"/>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与被审核部门无直接利害关系</w:t>
      </w:r>
    </w:p>
    <w:p w14:paraId="74F2670E">
      <w:pPr>
        <w:pStyle w:val="31"/>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具备良好的沟通和判断能力</w:t>
      </w:r>
    </w:p>
    <w:p w14:paraId="4F61D01E">
      <w:pPr>
        <w:pStyle w:val="32"/>
        <w:bidi w:val="0"/>
        <w:rPr>
          <w:rFonts w:hint="default"/>
          <w:lang w:val="en-US" w:eastAsia="zh-CN"/>
        </w:rPr>
      </w:pPr>
      <w:bookmarkStart w:id="27" w:name="_Toc7771"/>
      <w:bookmarkStart w:id="28" w:name="_Toc28584"/>
      <w:r>
        <w:rPr>
          <w:rFonts w:hint="default"/>
          <w:lang w:val="en-US" w:eastAsia="zh-CN"/>
        </w:rPr>
        <w:t>收集并审阅有关文件和记录</w:t>
      </w:r>
      <w:bookmarkEnd w:id="27"/>
      <w:bookmarkEnd w:id="28"/>
    </w:p>
    <w:p w14:paraId="0E05055D">
      <w:pPr>
        <w:pStyle w:val="31"/>
        <w:bidi w:val="0"/>
        <w:rPr>
          <w:rFonts w:hint="default"/>
          <w:lang w:val="en-US" w:eastAsia="zh-CN"/>
        </w:rPr>
      </w:pPr>
      <w:r>
        <w:rPr>
          <w:rFonts w:hint="default"/>
          <w:lang w:val="en-US" w:eastAsia="zh-CN"/>
        </w:rPr>
        <w:t>内审小组组长根据内部审核计划进行审核分工和时间安排，提前下发本次内部审核计划到受审核部门负责人，事先约定该次审核的所有被访谈角色。</w:t>
      </w:r>
    </w:p>
    <w:p w14:paraId="60B686BD">
      <w:pPr>
        <w:pStyle w:val="31"/>
        <w:bidi w:val="0"/>
        <w:rPr>
          <w:rFonts w:hint="default"/>
          <w:lang w:val="en-US" w:eastAsia="zh-CN"/>
        </w:rPr>
      </w:pPr>
      <w:r>
        <w:rPr>
          <w:rFonts w:hint="default"/>
          <w:lang w:val="en-US" w:eastAsia="zh-CN"/>
        </w:rPr>
        <w:t>审核组成员根据分工任务编制《内审检查表》，检查表应覆盖ITSS标准要求和公司相关制度要求。</w:t>
      </w:r>
    </w:p>
    <w:p w14:paraId="59C63914">
      <w:pPr>
        <w:pStyle w:val="31"/>
        <w:bidi w:val="0"/>
        <w:rPr>
          <w:rFonts w:hint="default"/>
          <w:lang w:val="en-US" w:eastAsia="zh-CN"/>
        </w:rPr>
      </w:pPr>
      <w:r>
        <w:rPr>
          <w:rFonts w:hint="default"/>
          <w:lang w:val="en-US" w:eastAsia="zh-CN"/>
        </w:rPr>
        <w:t>内审小组依据内部审核计划，收集与被审核部门运维服务有关的文件和资料，并进行审阅，包括但不限于：</w:t>
      </w:r>
    </w:p>
    <w:p w14:paraId="0B6BCEC9">
      <w:pPr>
        <w:pStyle w:val="31"/>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部门职责和岗位说明书</w:t>
      </w:r>
    </w:p>
    <w:p w14:paraId="2340260B">
      <w:pPr>
        <w:pStyle w:val="31"/>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相关管理制度和流程文件</w:t>
      </w:r>
    </w:p>
    <w:p w14:paraId="2619C2A8">
      <w:pPr>
        <w:pStyle w:val="31"/>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过程记录和运行数据</w:t>
      </w:r>
    </w:p>
    <w:p w14:paraId="6CD8E03D">
      <w:pPr>
        <w:pStyle w:val="31"/>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能力度量指标完成情况</w:t>
      </w:r>
    </w:p>
    <w:p w14:paraId="0106CA83">
      <w:pPr>
        <w:pStyle w:val="31"/>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前期内审不符合项整改情况</w:t>
      </w:r>
    </w:p>
    <w:p w14:paraId="28DAF321">
      <w:pPr>
        <w:pStyle w:val="31"/>
        <w:bidi w:val="0"/>
        <w:rPr>
          <w:rFonts w:hint="default"/>
          <w:lang w:val="en-US" w:eastAsia="zh-CN"/>
        </w:rPr>
      </w:pPr>
      <w:r>
        <w:rPr>
          <w:rFonts w:hint="default"/>
          <w:lang w:val="en-US" w:eastAsia="zh-CN"/>
        </w:rPr>
        <w:t>审核员在文件审核与现场审核时需做好记录。</w:t>
      </w:r>
    </w:p>
    <w:p w14:paraId="1CDA520E">
      <w:pPr>
        <w:pStyle w:val="32"/>
        <w:bidi w:val="0"/>
        <w:rPr>
          <w:rFonts w:hint="default"/>
          <w:lang w:val="en-US" w:eastAsia="zh-CN"/>
        </w:rPr>
      </w:pPr>
      <w:bookmarkStart w:id="29" w:name="_Toc7264"/>
      <w:bookmarkStart w:id="30" w:name="_Toc30001"/>
      <w:r>
        <w:rPr>
          <w:rFonts w:hint="default"/>
          <w:lang w:val="en-US" w:eastAsia="zh-CN"/>
        </w:rPr>
        <w:t>内审执行</w:t>
      </w:r>
      <w:bookmarkEnd w:id="29"/>
      <w:bookmarkEnd w:id="30"/>
    </w:p>
    <w:p w14:paraId="0B90DB9F">
      <w:pPr>
        <w:pStyle w:val="33"/>
        <w:bidi w:val="0"/>
        <w:rPr>
          <w:rFonts w:hint="default"/>
          <w:lang w:val="en-US" w:eastAsia="zh-CN"/>
        </w:rPr>
      </w:pPr>
      <w:bookmarkStart w:id="31" w:name="_Toc4368"/>
      <w:bookmarkStart w:id="32" w:name="_Toc24868"/>
      <w:r>
        <w:rPr>
          <w:rFonts w:hint="default"/>
          <w:lang w:val="en-US" w:eastAsia="zh-CN"/>
        </w:rPr>
        <w:t>内审首次会议</w:t>
      </w:r>
      <w:bookmarkEnd w:id="31"/>
      <w:bookmarkEnd w:id="32"/>
    </w:p>
    <w:p w14:paraId="2CB9AFFC">
      <w:pPr>
        <w:pStyle w:val="31"/>
        <w:bidi w:val="0"/>
        <w:rPr>
          <w:rFonts w:hint="default"/>
          <w:lang w:val="en-US" w:eastAsia="zh-CN"/>
        </w:rPr>
      </w:pPr>
      <w:r>
        <w:rPr>
          <w:rFonts w:hint="default"/>
          <w:lang w:val="en-US" w:eastAsia="zh-CN"/>
        </w:rPr>
        <w:t>内审小组组长主持召开内审首次会议，首次会议出席人员包括：</w:t>
      </w:r>
    </w:p>
    <w:p w14:paraId="18382C63">
      <w:pPr>
        <w:pStyle w:val="31"/>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内审小组全体成员</w:t>
      </w:r>
    </w:p>
    <w:p w14:paraId="4B0906A7">
      <w:pPr>
        <w:pStyle w:val="31"/>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受审核部门负责人及陪同人员</w:t>
      </w:r>
    </w:p>
    <w:p w14:paraId="3497F1EA">
      <w:pPr>
        <w:pStyle w:val="31"/>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产品质量部经理</w:t>
      </w:r>
    </w:p>
    <w:p w14:paraId="20F48370">
      <w:pPr>
        <w:pStyle w:val="31"/>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必要时邀请管理层参加</w:t>
      </w:r>
    </w:p>
    <w:p w14:paraId="3A55483C">
      <w:pPr>
        <w:pStyle w:val="31"/>
        <w:bidi w:val="0"/>
        <w:rPr>
          <w:rFonts w:hint="default"/>
          <w:lang w:val="en-US" w:eastAsia="zh-CN"/>
        </w:rPr>
      </w:pPr>
      <w:r>
        <w:rPr>
          <w:rFonts w:hint="default"/>
          <w:lang w:val="en-US" w:eastAsia="zh-CN"/>
        </w:rPr>
        <w:t>会议内容：</w:t>
      </w:r>
    </w:p>
    <w:p w14:paraId="767FE8FB">
      <w:pPr>
        <w:pStyle w:val="31"/>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内审小组组长介绍本次审核的目的、依据、范围、方法和日程安排</w:t>
      </w:r>
    </w:p>
    <w:p w14:paraId="19ED5917">
      <w:pPr>
        <w:pStyle w:val="31"/>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确认审核过程中的沟通方式和渠道</w:t>
      </w:r>
    </w:p>
    <w:p w14:paraId="38493ED8">
      <w:pPr>
        <w:pStyle w:val="31"/>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内审小组组长指定专人负责参会人员的签到与会议纪要</w:t>
      </w:r>
    </w:p>
    <w:p w14:paraId="6B5781C6">
      <w:pPr>
        <w:pStyle w:val="33"/>
        <w:bidi w:val="0"/>
        <w:rPr>
          <w:rFonts w:hint="default"/>
          <w:lang w:val="en-US" w:eastAsia="zh-CN"/>
        </w:rPr>
      </w:pPr>
      <w:bookmarkStart w:id="33" w:name="_Toc6899"/>
      <w:bookmarkStart w:id="34" w:name="_Toc6421"/>
      <w:r>
        <w:rPr>
          <w:rFonts w:hint="default"/>
          <w:lang w:val="en-US" w:eastAsia="zh-CN"/>
        </w:rPr>
        <w:t>现场收集客观证据</w:t>
      </w:r>
      <w:bookmarkEnd w:id="33"/>
      <w:bookmarkEnd w:id="34"/>
    </w:p>
    <w:p w14:paraId="6CB050CB">
      <w:pPr>
        <w:pStyle w:val="31"/>
        <w:bidi w:val="0"/>
        <w:rPr>
          <w:rFonts w:hint="default"/>
          <w:lang w:val="en-US" w:eastAsia="zh-CN"/>
        </w:rPr>
      </w:pPr>
      <w:r>
        <w:rPr>
          <w:rFonts w:hint="default"/>
          <w:lang w:val="en-US" w:eastAsia="zh-CN"/>
        </w:rPr>
        <w:t>内审员按照审核日程安排和《内审检查表》内容要求，到审核现场进行逐项检查，通过以下方式收集客观证据：</w:t>
      </w:r>
    </w:p>
    <w:p w14:paraId="475EDF39">
      <w:pPr>
        <w:pStyle w:val="31"/>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文件查阅：检查制度文件、过程记录、报告等</w:t>
      </w:r>
    </w:p>
    <w:p w14:paraId="0FCED9A5">
      <w:pPr>
        <w:pStyle w:val="31"/>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现场观察：观察实际操作是否符合规范</w:t>
      </w:r>
    </w:p>
    <w:p w14:paraId="0F940887">
      <w:pPr>
        <w:pStyle w:val="31"/>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人员访谈：与相关人员沟通了解执行情况</w:t>
      </w:r>
    </w:p>
    <w:p w14:paraId="3A0EDD7E">
      <w:pPr>
        <w:pStyle w:val="31"/>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数据核查：检查KPI数据、度量数据的真实性和准确性</w:t>
      </w:r>
    </w:p>
    <w:p w14:paraId="1F0470F0">
      <w:pPr>
        <w:pStyle w:val="31"/>
        <w:bidi w:val="0"/>
        <w:rPr>
          <w:rFonts w:hint="default"/>
          <w:lang w:val="en-US" w:eastAsia="zh-CN"/>
        </w:rPr>
      </w:pPr>
      <w:r>
        <w:rPr>
          <w:rFonts w:hint="default"/>
          <w:lang w:val="en-US" w:eastAsia="zh-CN"/>
        </w:rPr>
        <w:t>现场发现问题时，内审员应与该项工作的负责人员进行确认，以保证不符合项能够完全被理解，有利于后期采取正确的纠正措施。</w:t>
      </w:r>
    </w:p>
    <w:p w14:paraId="38DC3554">
      <w:pPr>
        <w:pStyle w:val="33"/>
        <w:bidi w:val="0"/>
        <w:rPr>
          <w:rFonts w:hint="default"/>
          <w:lang w:val="en-US" w:eastAsia="zh-CN"/>
        </w:rPr>
      </w:pPr>
      <w:bookmarkStart w:id="35" w:name="_Toc27036"/>
      <w:bookmarkStart w:id="36" w:name="_Toc26852"/>
      <w:r>
        <w:rPr>
          <w:rFonts w:hint="default"/>
          <w:lang w:val="en-US" w:eastAsia="zh-CN"/>
        </w:rPr>
        <w:t>确认不符合项</w:t>
      </w:r>
      <w:bookmarkEnd w:id="35"/>
      <w:bookmarkEnd w:id="36"/>
    </w:p>
    <w:p w14:paraId="6C7BFFFF">
      <w:pPr>
        <w:pStyle w:val="31"/>
        <w:bidi w:val="0"/>
        <w:rPr>
          <w:rFonts w:hint="default"/>
          <w:lang w:val="en-US" w:eastAsia="zh-CN"/>
        </w:rPr>
      </w:pPr>
      <w:r>
        <w:rPr>
          <w:rFonts w:hint="default"/>
          <w:lang w:val="en-US" w:eastAsia="zh-CN"/>
        </w:rPr>
        <w:t>内审小组对内审中收集的客观证据进行充分讨论，确定符合项与不符合项。当实际执行的客观证据不足以证明相关流程被执行时，审核员可据此开具不符合项。</w:t>
      </w:r>
    </w:p>
    <w:p w14:paraId="7E4F16CE">
      <w:pPr>
        <w:pStyle w:val="31"/>
        <w:bidi w:val="0"/>
        <w:rPr>
          <w:rFonts w:hint="default"/>
          <w:lang w:val="en-US" w:eastAsia="zh-CN"/>
        </w:rPr>
      </w:pPr>
      <w:r>
        <w:rPr>
          <w:rFonts w:hint="default"/>
          <w:lang w:val="en-US" w:eastAsia="zh-CN"/>
        </w:rPr>
        <w:t>不符合项的分类：</w:t>
      </w:r>
    </w:p>
    <w:p w14:paraId="3E700708">
      <w:pPr>
        <w:pStyle w:val="31"/>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严重不符合项：系统性失效、流程缺失、重大风险、影响服务连续性的问题</w:t>
      </w:r>
    </w:p>
    <w:p w14:paraId="2CDE3325">
      <w:pPr>
        <w:pStyle w:val="31"/>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一般不符合项：个别执行偏差、记录不完整、局部不规范的问题</w:t>
      </w:r>
    </w:p>
    <w:p w14:paraId="7D4EE7BB">
      <w:pPr>
        <w:pStyle w:val="31"/>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观察项：潜在风险或改进机会，尚未形成不符合</w:t>
      </w:r>
    </w:p>
    <w:p w14:paraId="65D5AF55">
      <w:pPr>
        <w:pStyle w:val="31"/>
        <w:bidi w:val="0"/>
        <w:rPr>
          <w:rFonts w:hint="default"/>
          <w:lang w:val="en-US" w:eastAsia="zh-CN"/>
        </w:rPr>
      </w:pPr>
      <w:r>
        <w:rPr>
          <w:rFonts w:hint="default"/>
          <w:lang w:val="en-US" w:eastAsia="zh-CN"/>
        </w:rPr>
        <w:t>内审小组依据问题可能造成的影响程度和范围，确定不符合项的性质。确定不符合项时，审核员应以ITSS标准以及公司相关制度为依据，以运行记录和现场事实为证据，保持客观公正。</w:t>
      </w:r>
    </w:p>
    <w:p w14:paraId="662E20A5">
      <w:pPr>
        <w:pStyle w:val="31"/>
        <w:bidi w:val="0"/>
        <w:rPr>
          <w:rFonts w:hint="default"/>
          <w:lang w:val="en-US" w:eastAsia="zh-CN"/>
        </w:rPr>
      </w:pPr>
      <w:r>
        <w:rPr>
          <w:rFonts w:hint="default"/>
          <w:lang w:val="en-US" w:eastAsia="zh-CN"/>
        </w:rPr>
        <w:t>内审小组组长根据各内审员填写的《内审检查表》编写《内审不符合项整改报告》</w:t>
      </w:r>
      <w:r>
        <w:rPr>
          <w:rFonts w:hint="eastAsia"/>
          <w:lang w:val="en-US" w:eastAsia="zh-CN"/>
        </w:rPr>
        <w:t>。</w:t>
      </w:r>
    </w:p>
    <w:p w14:paraId="492B38A9">
      <w:pPr>
        <w:pStyle w:val="33"/>
        <w:bidi w:val="0"/>
        <w:rPr>
          <w:rFonts w:hint="default"/>
          <w:lang w:val="en-US" w:eastAsia="zh-CN"/>
        </w:rPr>
      </w:pPr>
      <w:bookmarkStart w:id="37" w:name="_Toc3046"/>
      <w:bookmarkStart w:id="38" w:name="_Toc4596"/>
      <w:r>
        <w:rPr>
          <w:rFonts w:hint="default"/>
          <w:lang w:val="en-US" w:eastAsia="zh-CN"/>
        </w:rPr>
        <w:t>内审末次会议</w:t>
      </w:r>
      <w:bookmarkEnd w:id="37"/>
      <w:bookmarkEnd w:id="38"/>
    </w:p>
    <w:p w14:paraId="17357735">
      <w:pPr>
        <w:pStyle w:val="31"/>
        <w:bidi w:val="0"/>
        <w:rPr>
          <w:rFonts w:hint="default"/>
          <w:lang w:val="en-US" w:eastAsia="zh-CN"/>
        </w:rPr>
      </w:pPr>
      <w:r>
        <w:rPr>
          <w:rFonts w:hint="default"/>
          <w:lang w:val="en-US" w:eastAsia="zh-CN"/>
        </w:rPr>
        <w:t>内审小组组长主持召开内审末次会议，参会人员包括：</w:t>
      </w:r>
    </w:p>
    <w:p w14:paraId="67ECEFD4">
      <w:pPr>
        <w:pStyle w:val="31"/>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内审小组全体成员</w:t>
      </w:r>
    </w:p>
    <w:p w14:paraId="634E0EB2">
      <w:pPr>
        <w:pStyle w:val="31"/>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受审核部门负责人及陪同人员</w:t>
      </w:r>
    </w:p>
    <w:p w14:paraId="681EB601">
      <w:pPr>
        <w:pStyle w:val="31"/>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产品质量部经理</w:t>
      </w:r>
    </w:p>
    <w:p w14:paraId="7D4CE2D5">
      <w:pPr>
        <w:pStyle w:val="31"/>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必要时邀请管理层参加</w:t>
      </w:r>
    </w:p>
    <w:p w14:paraId="6BFEE744">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会议内容：</w:t>
      </w:r>
    </w:p>
    <w:p w14:paraId="1458FE9E">
      <w:pPr>
        <w:pStyle w:val="31"/>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内审小组组长说明本次审核的总体情况</w:t>
      </w:r>
    </w:p>
    <w:p w14:paraId="2392DD43">
      <w:pPr>
        <w:pStyle w:val="31"/>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宣读内部审核不符合报告，按重要程度依次说明</w:t>
      </w:r>
    </w:p>
    <w:p w14:paraId="481345AF">
      <w:pPr>
        <w:pStyle w:val="31"/>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内审小组就各个不符合项回答受审核部门提出的问题</w:t>
      </w:r>
    </w:p>
    <w:p w14:paraId="780228E5">
      <w:pPr>
        <w:pStyle w:val="31"/>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对受审核部门应采取的纠正措施提出整改建议</w:t>
      </w:r>
    </w:p>
    <w:p w14:paraId="4AFB488C">
      <w:pPr>
        <w:pStyle w:val="31"/>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受审核部门负责人对不符合项进行确认</w:t>
      </w:r>
    </w:p>
    <w:p w14:paraId="32F5BCB2">
      <w:pPr>
        <w:pStyle w:val="31"/>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内审小组组长指定专人负责参会人员的签到与会议记录</w:t>
      </w:r>
    </w:p>
    <w:p w14:paraId="0AB0C5A5">
      <w:pPr>
        <w:pStyle w:val="33"/>
        <w:bidi w:val="0"/>
        <w:rPr>
          <w:rFonts w:hint="default"/>
          <w:lang w:val="en-US" w:eastAsia="zh-CN"/>
        </w:rPr>
      </w:pPr>
      <w:bookmarkStart w:id="39" w:name="_Toc12950"/>
      <w:bookmarkStart w:id="40" w:name="_Toc7435"/>
      <w:r>
        <w:rPr>
          <w:rFonts w:hint="default"/>
          <w:lang w:val="en-US" w:eastAsia="zh-CN"/>
        </w:rPr>
        <w:t>编制内部审核报告</w:t>
      </w:r>
      <w:bookmarkEnd w:id="39"/>
      <w:bookmarkEnd w:id="40"/>
    </w:p>
    <w:p w14:paraId="7E998260">
      <w:pPr>
        <w:pStyle w:val="31"/>
        <w:bidi w:val="0"/>
        <w:rPr>
          <w:rFonts w:hint="default"/>
          <w:lang w:val="en-US" w:eastAsia="zh-CN"/>
        </w:rPr>
      </w:pPr>
      <w:r>
        <w:rPr>
          <w:rFonts w:hint="default"/>
          <w:lang w:val="en-US" w:eastAsia="zh-CN"/>
        </w:rPr>
        <w:t>审核结束后，内审组长应编写《内部审核报告》，如实反映审核结果，内容包括：</w:t>
      </w:r>
    </w:p>
    <w:p w14:paraId="26239AE5">
      <w:pPr>
        <w:pStyle w:val="31"/>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审核目的、范围、依据和方法</w:t>
      </w:r>
    </w:p>
    <w:p w14:paraId="6F5C8523">
      <w:pPr>
        <w:pStyle w:val="31"/>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审核组成员和审核日程</w:t>
      </w:r>
    </w:p>
    <w:p w14:paraId="6E9FD556">
      <w:pPr>
        <w:pStyle w:val="31"/>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审核发现总结</w:t>
      </w:r>
    </w:p>
    <w:p w14:paraId="4B1A5AA1">
      <w:pPr>
        <w:pStyle w:val="31"/>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不符合项统计和分析</w:t>
      </w:r>
    </w:p>
    <w:p w14:paraId="5FAFEF61">
      <w:pPr>
        <w:pStyle w:val="31"/>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体系运行总体评价</w:t>
      </w:r>
    </w:p>
    <w:p w14:paraId="748703A0">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改进建议</w:t>
      </w:r>
    </w:p>
    <w:p w14:paraId="54DE48E2">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eastAsia"/>
          <w:lang w:val="en-US" w:eastAsia="zh-CN"/>
        </w:rPr>
      </w:pPr>
      <w:r>
        <w:rPr>
          <w:rFonts w:hint="eastAsia"/>
          <w:lang w:val="en-US" w:eastAsia="zh-CN"/>
        </w:rPr>
        <w:t>审核依据应明确包含：</w:t>
      </w:r>
    </w:p>
    <w:p w14:paraId="70C25FBF">
      <w:pPr>
        <w:pStyle w:val="31"/>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ITSS标准（TCESA1299-2023《信息技术服务 运行维护服务能力成熟度模型》</w:t>
      </w:r>
    </w:p>
    <w:p w14:paraId="718D7055">
      <w:pPr>
        <w:pStyle w:val="31"/>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GB/T 28827.1-2022《信息技术服务 运行维护 第1部分：通用要求》）；</w:t>
      </w:r>
    </w:p>
    <w:p w14:paraId="0BAA4452">
      <w:pPr>
        <w:pStyle w:val="31"/>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公司相关管理制度和体系文件；</w:t>
      </w:r>
    </w:p>
    <w:p w14:paraId="00385B36">
      <w:pPr>
        <w:pStyle w:val="31"/>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与客户签订的服务级别协议（SLA）；</w:t>
      </w:r>
    </w:p>
    <w:p w14:paraId="1235A3BB">
      <w:pPr>
        <w:pStyle w:val="31"/>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客户需求和期望；</w:t>
      </w:r>
    </w:p>
    <w:p w14:paraId="401D94D1">
      <w:pPr>
        <w:pStyle w:val="31"/>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适用的法律法规及其他要求。</w:t>
      </w:r>
    </w:p>
    <w:p w14:paraId="16F1C4EC">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《内部审核报告》报总经理审批后，由内审组长发放至相关受审部门。内部审核的结果应作为管理评审的重要输入。</w:t>
      </w:r>
    </w:p>
    <w:p w14:paraId="77AF1FCD">
      <w:pPr>
        <w:pStyle w:val="33"/>
        <w:bidi w:val="0"/>
        <w:rPr>
          <w:rFonts w:hint="default"/>
          <w:lang w:val="en-US" w:eastAsia="zh-CN"/>
        </w:rPr>
      </w:pPr>
      <w:bookmarkStart w:id="41" w:name="_Toc27680"/>
      <w:bookmarkStart w:id="42" w:name="_Toc31306"/>
      <w:r>
        <w:rPr>
          <w:rFonts w:hint="default"/>
          <w:lang w:val="en-US" w:eastAsia="zh-CN"/>
        </w:rPr>
        <w:t>跟踪验证</w:t>
      </w:r>
      <w:bookmarkEnd w:id="41"/>
      <w:bookmarkEnd w:id="42"/>
    </w:p>
    <w:p w14:paraId="3855F327">
      <w:pPr>
        <w:pStyle w:val="31"/>
        <w:bidi w:val="0"/>
        <w:rPr>
          <w:rFonts w:hint="default"/>
          <w:lang w:val="en-US" w:eastAsia="zh-CN"/>
        </w:rPr>
      </w:pPr>
      <w:r>
        <w:rPr>
          <w:rFonts w:hint="default"/>
          <w:lang w:val="en-US" w:eastAsia="zh-CN"/>
        </w:rPr>
        <w:t>受审核部门接到《内审不符合项整改报告》后，应及时分析原因，制定纠正措施，明确责任人和完成期限，填写整改计划，报部门负责人审批。</w:t>
      </w:r>
    </w:p>
    <w:p w14:paraId="36E18576">
      <w:pPr>
        <w:pStyle w:val="31"/>
        <w:bidi w:val="0"/>
        <w:rPr>
          <w:rFonts w:hint="default"/>
          <w:lang w:val="en-US" w:eastAsia="zh-CN"/>
        </w:rPr>
      </w:pPr>
      <w:r>
        <w:rPr>
          <w:rFonts w:hint="default"/>
          <w:lang w:val="en-US" w:eastAsia="zh-CN"/>
        </w:rPr>
        <w:t>部门负责人批准整改计划后，受审部门将整改计划报备产品质量部。</w:t>
      </w:r>
    </w:p>
    <w:p w14:paraId="097205FE">
      <w:pPr>
        <w:pStyle w:val="31"/>
        <w:bidi w:val="0"/>
        <w:rPr>
          <w:rFonts w:hint="default"/>
          <w:lang w:val="en-US" w:eastAsia="zh-CN"/>
        </w:rPr>
      </w:pPr>
      <w:r>
        <w:rPr>
          <w:rFonts w:hint="default"/>
          <w:lang w:val="en-US" w:eastAsia="zh-CN"/>
        </w:rPr>
        <w:t>受审核部门开始实施整改计划，产品质量部跟踪纠正措施的执行情况。</w:t>
      </w:r>
    </w:p>
    <w:p w14:paraId="508CF04A">
      <w:pPr>
        <w:pStyle w:val="31"/>
        <w:bidi w:val="0"/>
        <w:rPr>
          <w:rFonts w:hint="default"/>
          <w:lang w:val="en-US" w:eastAsia="zh-CN"/>
        </w:rPr>
      </w:pPr>
      <w:r>
        <w:rPr>
          <w:rFonts w:hint="default"/>
          <w:lang w:val="en-US" w:eastAsia="zh-CN"/>
        </w:rPr>
        <w:t>纠正措施预定日期已到或接到纠正措施已完成的通知时，产品质量部应委派内审员到受审核部门，参与验证该纠正措施完成效果的验证评审。验证内容包括：</w:t>
      </w:r>
    </w:p>
    <w:p w14:paraId="2DAD10E7">
      <w:pPr>
        <w:pStyle w:val="31"/>
        <w:keepLines w:val="0"/>
        <w:pageBreakBefore w:val="0"/>
        <w:widowControl w:val="0"/>
        <w:numPr>
          <w:ilvl w:val="0"/>
          <w:numId w:val="2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整改措施是否按计划完成</w:t>
      </w:r>
    </w:p>
    <w:p w14:paraId="33740332">
      <w:pPr>
        <w:pStyle w:val="31"/>
        <w:keepLines w:val="0"/>
        <w:pageBreakBefore w:val="0"/>
        <w:widowControl w:val="0"/>
        <w:numPr>
          <w:ilvl w:val="0"/>
          <w:numId w:val="2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整改效果是否达到预期目标</w:t>
      </w:r>
    </w:p>
    <w:p w14:paraId="084FE11B">
      <w:pPr>
        <w:pStyle w:val="31"/>
        <w:keepLines w:val="0"/>
        <w:pageBreakBefore w:val="0"/>
        <w:widowControl w:val="0"/>
        <w:numPr>
          <w:ilvl w:val="0"/>
          <w:numId w:val="2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是否有新的问题产生</w:t>
      </w:r>
    </w:p>
    <w:p w14:paraId="0D8CF538">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验证通过后，内审员在《内审不符合项整改报告》的“跟踪验证”栏中签字确认。验证未通过的，返回受审核部门重新整改。</w:t>
      </w:r>
    </w:p>
    <w:p w14:paraId="2CD2A39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996"/>
      <w:bookmarkStart w:id="44" w:name="_Toc657"/>
      <w:bookmarkStart w:id="45" w:name="_Toc25664"/>
      <w:r>
        <w:rPr>
          <w:rFonts w:hint="eastAsia"/>
          <w:lang w:val="en-US" w:eastAsia="zh-CN"/>
        </w:rPr>
        <w:t>KPI指标</w:t>
      </w:r>
      <w:bookmarkEnd w:id="43"/>
      <w:bookmarkEnd w:id="44"/>
      <w:bookmarkEnd w:id="45"/>
    </w:p>
    <w:p w14:paraId="6046CFA0">
      <w:pPr>
        <w:pStyle w:val="31"/>
        <w:rPr>
          <w:rFonts w:hint="default"/>
          <w:lang w:val="en-US" w:eastAsia="zh-CN"/>
        </w:rPr>
      </w:pPr>
      <w:r>
        <w:rPr>
          <w:rFonts w:hint="eastAsia"/>
          <w:lang w:val="en-US" w:eastAsia="zh-CN"/>
        </w:rPr>
        <w:t>内审管理指标如表5-1所示</w:t>
      </w:r>
    </w:p>
    <w:p w14:paraId="08EBE6CE">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6" w:name="_Toc14950"/>
      <w:r>
        <w:rPr>
          <w:rFonts w:hint="eastAsia"/>
          <w:lang w:val="en-US" w:eastAsia="zh-CN"/>
        </w:rPr>
        <w:t xml:space="preserve"> KPI指标表</w:t>
      </w:r>
      <w:bookmarkEnd w:id="46"/>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3"/>
        <w:gridCol w:w="3562"/>
        <w:gridCol w:w="1413"/>
        <w:gridCol w:w="1774"/>
      </w:tblGrid>
      <w:tr w14:paraId="4F7F8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73" w:type="dxa"/>
            <w:tcBorders>
              <w:top w:val="single" w:color="auto" w:sz="12" w:space="0"/>
              <w:left w:val="single" w:color="auto" w:sz="12" w:space="0"/>
              <w:bottom w:val="nil"/>
              <w:right w:val="nil"/>
            </w:tcBorders>
            <w:tcMar>
              <w:top w:w="-1" w:type="dxa"/>
              <w:left w:w="-1" w:type="dxa"/>
              <w:bottom w:w="-1" w:type="dxa"/>
              <w:right w:w="-1" w:type="dxa"/>
            </w:tcMar>
            <w:vAlign w:val="center"/>
          </w:tcPr>
          <w:p w14:paraId="6D2109D0">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指标名称</w:t>
            </w:r>
          </w:p>
        </w:tc>
        <w:tc>
          <w:tcPr>
            <w:tcW w:w="3562" w:type="dxa"/>
            <w:tcBorders>
              <w:top w:val="single" w:color="auto" w:sz="12" w:space="0"/>
              <w:left w:val="single" w:color="auto" w:sz="4" w:space="0"/>
              <w:bottom w:val="nil"/>
              <w:right w:val="nil"/>
            </w:tcBorders>
            <w:tcMar>
              <w:top w:w="-1" w:type="dxa"/>
              <w:left w:w="-1" w:type="dxa"/>
              <w:bottom w:w="-1" w:type="dxa"/>
              <w:right w:w="-1" w:type="dxa"/>
            </w:tcMar>
            <w:vAlign w:val="center"/>
          </w:tcPr>
          <w:p w14:paraId="09CC56E2">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指标计算方式</w:t>
            </w:r>
          </w:p>
        </w:tc>
        <w:tc>
          <w:tcPr>
            <w:tcW w:w="1413" w:type="dxa"/>
            <w:tcBorders>
              <w:top w:val="single" w:color="auto" w:sz="12" w:space="0"/>
              <w:left w:val="single" w:color="auto" w:sz="4" w:space="0"/>
              <w:bottom w:val="nil"/>
              <w:right w:val="nil"/>
            </w:tcBorders>
            <w:tcMar>
              <w:top w:w="-1" w:type="dxa"/>
              <w:left w:w="-1" w:type="dxa"/>
              <w:bottom w:w="-1" w:type="dxa"/>
              <w:right w:w="-1" w:type="dxa"/>
            </w:tcMar>
            <w:vAlign w:val="center"/>
          </w:tcPr>
          <w:p w14:paraId="07201390">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目标值</w:t>
            </w:r>
          </w:p>
        </w:tc>
        <w:tc>
          <w:tcPr>
            <w:tcW w:w="1774"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39347B4A">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考核频次</w:t>
            </w:r>
          </w:p>
        </w:tc>
      </w:tr>
      <w:tr w14:paraId="2C836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73"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01BDCE27">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内审次数</w:t>
            </w:r>
          </w:p>
        </w:tc>
        <w:tc>
          <w:tcPr>
            <w:tcW w:w="3562"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AF75FC6">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报告，内审报告数量</w:t>
            </w:r>
          </w:p>
        </w:tc>
        <w:tc>
          <w:tcPr>
            <w:tcW w:w="1413"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F5DE190">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≥1次</w:t>
            </w:r>
          </w:p>
        </w:tc>
        <w:tc>
          <w:tcPr>
            <w:tcW w:w="1774"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20578E89">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年度</w:t>
            </w:r>
          </w:p>
        </w:tc>
      </w:tr>
    </w:tbl>
    <w:p w14:paraId="361F9868">
      <w:pPr>
        <w:pStyle w:val="30"/>
        <w:bidi w:val="0"/>
        <w:rPr>
          <w:rFonts w:hint="eastAsia"/>
          <w:lang w:val="en-US" w:eastAsia="zh-CN"/>
        </w:rPr>
      </w:pPr>
      <w:bookmarkStart w:id="47" w:name="_Toc26738"/>
      <w:bookmarkStart w:id="48" w:name="_Toc21385"/>
      <w:r>
        <w:rPr>
          <w:rFonts w:hint="eastAsia"/>
          <w:lang w:val="en-US" w:eastAsia="zh-CN"/>
        </w:rPr>
        <w:t>输出的文件和记录</w:t>
      </w:r>
      <w:bookmarkEnd w:id="47"/>
      <w:bookmarkEnd w:id="48"/>
    </w:p>
    <w:p w14:paraId="63F1DB1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5913"/>
      <w:r>
        <w:rPr>
          <w:rFonts w:hint="eastAsia"/>
          <w:lang w:val="en-US" w:eastAsia="zh-CN"/>
        </w:rPr>
        <w:t xml:space="preserve"> 输出文件和记录表</w:t>
      </w:r>
      <w:bookmarkEnd w:id="49"/>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84"/>
        <w:gridCol w:w="2069"/>
        <w:gridCol w:w="2069"/>
      </w:tblGrid>
      <w:tr w14:paraId="48413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4384"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13ECADE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文件和记录</w:t>
            </w:r>
          </w:p>
        </w:tc>
        <w:tc>
          <w:tcPr>
            <w:tcW w:w="206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43B39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c>
          <w:tcPr>
            <w:tcW w:w="2069"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4CC213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保存期限</w:t>
            </w:r>
          </w:p>
        </w:tc>
      </w:tr>
      <w:tr w14:paraId="4E7E2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8F89F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《年度内部审核计划》</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3ED461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CE5B4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r w14:paraId="77FBC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CB8C5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《内审员评定表》</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56ADC1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EB3C9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5C687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2FB42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《内审检查表》</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5B6A2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3800E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091B8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D80C4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《内审不符合项整改报告》</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B9EE5D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1B2B1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5年</w:t>
            </w:r>
          </w:p>
        </w:tc>
      </w:tr>
      <w:tr w14:paraId="13B5C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5C913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《内部审核报告》</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89DC00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BB89AD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长期</w:t>
            </w:r>
          </w:p>
        </w:tc>
      </w:tr>
      <w:tr w14:paraId="4B8BF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23FED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《首次会议签到表》</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D93398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07456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43813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4E9D0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《末次会议签到表》</w:t>
            </w:r>
          </w:p>
        </w:tc>
        <w:tc>
          <w:tcPr>
            <w:tcW w:w="206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5A8DFE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20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E67B12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r w14:paraId="5AEC8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384"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163873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《内审整改跟踪记录》</w:t>
            </w:r>
          </w:p>
        </w:tc>
        <w:tc>
          <w:tcPr>
            <w:tcW w:w="206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786F2A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2069"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1780BDC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3年</w:t>
            </w:r>
          </w:p>
        </w:tc>
      </w:tr>
    </w:tbl>
    <w:p w14:paraId="0D46F5BE">
      <w:pPr>
        <w:pStyle w:val="3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0304F"/>
    <w:multiLevelType w:val="singleLevel"/>
    <w:tmpl w:val="84C0304F"/>
    <w:lvl w:ilvl="0" w:tentative="0">
      <w:start w:val="1"/>
      <w:numFmt w:val="decimal"/>
      <w:lvlText w:val="%1."/>
      <w:lvlJc w:val="left"/>
      <w:pPr>
        <w:ind w:left="425" w:hanging="425"/>
      </w:pPr>
      <w:rPr>
        <w:rFonts w:hint="default"/>
      </w:rPr>
    </w:lvl>
  </w:abstractNum>
  <w:abstractNum w:abstractNumId="1">
    <w:nsid w:val="87E1A83A"/>
    <w:multiLevelType w:val="singleLevel"/>
    <w:tmpl w:val="87E1A83A"/>
    <w:lvl w:ilvl="0" w:tentative="0">
      <w:start w:val="1"/>
      <w:numFmt w:val="decimal"/>
      <w:lvlText w:val="%1."/>
      <w:lvlJc w:val="left"/>
      <w:pPr>
        <w:ind w:left="425" w:hanging="425"/>
      </w:pPr>
      <w:rPr>
        <w:rFonts w:hint="default"/>
      </w:rPr>
    </w:lvl>
  </w:abstractNum>
  <w:abstractNum w:abstractNumId="2">
    <w:nsid w:val="8835587C"/>
    <w:multiLevelType w:val="singleLevel"/>
    <w:tmpl w:val="8835587C"/>
    <w:lvl w:ilvl="0" w:tentative="0">
      <w:start w:val="1"/>
      <w:numFmt w:val="decimal"/>
      <w:lvlText w:val="%1."/>
      <w:lvlJc w:val="left"/>
      <w:pPr>
        <w:ind w:left="425" w:hanging="425"/>
      </w:pPr>
      <w:rPr>
        <w:rFonts w:hint="default"/>
      </w:rPr>
    </w:lvl>
  </w:abstractNum>
  <w:abstractNum w:abstractNumId="3">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
    <w:nsid w:val="8F9EC740"/>
    <w:multiLevelType w:val="singleLevel"/>
    <w:tmpl w:val="8F9EC740"/>
    <w:lvl w:ilvl="0" w:tentative="0">
      <w:start w:val="1"/>
      <w:numFmt w:val="decimal"/>
      <w:lvlText w:val="%1."/>
      <w:lvlJc w:val="left"/>
      <w:pPr>
        <w:ind w:left="425" w:hanging="425"/>
      </w:pPr>
      <w:rPr>
        <w:rFonts w:hint="default"/>
      </w:rPr>
    </w:lvl>
  </w:abstractNum>
  <w:abstractNum w:abstractNumId="5">
    <w:nsid w:val="93D91646"/>
    <w:multiLevelType w:val="singleLevel"/>
    <w:tmpl w:val="93D91646"/>
    <w:lvl w:ilvl="0" w:tentative="0">
      <w:start w:val="1"/>
      <w:numFmt w:val="decimal"/>
      <w:lvlText w:val="%1."/>
      <w:lvlJc w:val="left"/>
      <w:pPr>
        <w:ind w:left="425" w:hanging="425"/>
      </w:pPr>
      <w:rPr>
        <w:rFonts w:hint="default"/>
      </w:rPr>
    </w:lvl>
  </w:abstractNum>
  <w:abstractNum w:abstractNumId="6">
    <w:nsid w:val="9D4A1883"/>
    <w:multiLevelType w:val="singleLevel"/>
    <w:tmpl w:val="9D4A1883"/>
    <w:lvl w:ilvl="0" w:tentative="0">
      <w:start w:val="1"/>
      <w:numFmt w:val="decimal"/>
      <w:lvlText w:val="%1."/>
      <w:lvlJc w:val="left"/>
      <w:pPr>
        <w:ind w:left="425" w:hanging="425"/>
      </w:pPr>
      <w:rPr>
        <w:rFonts w:hint="default"/>
      </w:rPr>
    </w:lvl>
  </w:abstractNum>
  <w:abstractNum w:abstractNumId="7">
    <w:nsid w:val="A5BA127F"/>
    <w:multiLevelType w:val="singleLevel"/>
    <w:tmpl w:val="A5BA127F"/>
    <w:lvl w:ilvl="0" w:tentative="0">
      <w:start w:val="1"/>
      <w:numFmt w:val="decimal"/>
      <w:lvlText w:val="%1."/>
      <w:lvlJc w:val="left"/>
      <w:pPr>
        <w:ind w:left="425" w:hanging="425"/>
      </w:pPr>
      <w:rPr>
        <w:rFonts w:hint="default"/>
      </w:rPr>
    </w:lvl>
  </w:abstractNum>
  <w:abstractNum w:abstractNumId="8">
    <w:nsid w:val="B212472F"/>
    <w:multiLevelType w:val="singleLevel"/>
    <w:tmpl w:val="B212472F"/>
    <w:lvl w:ilvl="0" w:tentative="0">
      <w:start w:val="1"/>
      <w:numFmt w:val="decimal"/>
      <w:lvlText w:val="%1."/>
      <w:lvlJc w:val="left"/>
      <w:pPr>
        <w:ind w:left="425" w:hanging="425"/>
      </w:pPr>
      <w:rPr>
        <w:rFonts w:hint="default"/>
      </w:rPr>
    </w:lvl>
  </w:abstractNum>
  <w:abstractNum w:abstractNumId="9">
    <w:nsid w:val="C7CFC51B"/>
    <w:multiLevelType w:val="singleLevel"/>
    <w:tmpl w:val="C7CFC51B"/>
    <w:lvl w:ilvl="0" w:tentative="0">
      <w:start w:val="1"/>
      <w:numFmt w:val="decimal"/>
      <w:lvlText w:val="%1."/>
      <w:lvlJc w:val="left"/>
      <w:pPr>
        <w:ind w:left="425" w:hanging="425"/>
      </w:pPr>
      <w:rPr>
        <w:rFonts w:hint="default"/>
      </w:rPr>
    </w:lvl>
  </w:abstractNum>
  <w:abstractNum w:abstractNumId="10">
    <w:nsid w:val="E912F936"/>
    <w:multiLevelType w:val="singleLevel"/>
    <w:tmpl w:val="E912F936"/>
    <w:lvl w:ilvl="0" w:tentative="0">
      <w:start w:val="1"/>
      <w:numFmt w:val="decimal"/>
      <w:lvlText w:val="%1."/>
      <w:lvlJc w:val="left"/>
      <w:pPr>
        <w:ind w:left="425" w:hanging="425"/>
      </w:pPr>
      <w:rPr>
        <w:rFonts w:hint="default"/>
      </w:rPr>
    </w:lvl>
  </w:abstractNum>
  <w:abstractNum w:abstractNumId="11">
    <w:nsid w:val="E9961E84"/>
    <w:multiLevelType w:val="singleLevel"/>
    <w:tmpl w:val="E9961E84"/>
    <w:lvl w:ilvl="0" w:tentative="0">
      <w:start w:val="1"/>
      <w:numFmt w:val="decimal"/>
      <w:lvlText w:val="%1."/>
      <w:lvlJc w:val="left"/>
      <w:pPr>
        <w:ind w:left="425" w:hanging="425"/>
      </w:pPr>
      <w:rPr>
        <w:rFonts w:hint="default"/>
      </w:rPr>
    </w:lvl>
  </w:abstractNum>
  <w:abstractNum w:abstractNumId="12">
    <w:nsid w:val="0288FDE6"/>
    <w:multiLevelType w:val="singleLevel"/>
    <w:tmpl w:val="0288FDE6"/>
    <w:lvl w:ilvl="0" w:tentative="0">
      <w:start w:val="1"/>
      <w:numFmt w:val="decimal"/>
      <w:lvlText w:val="%1."/>
      <w:lvlJc w:val="left"/>
      <w:pPr>
        <w:ind w:left="425" w:hanging="425"/>
      </w:pPr>
      <w:rPr>
        <w:rFonts w:hint="default"/>
      </w:rPr>
    </w:lvl>
  </w:abstractNum>
  <w:abstractNum w:abstractNumId="13">
    <w:nsid w:val="0539F7D8"/>
    <w:multiLevelType w:val="singleLevel"/>
    <w:tmpl w:val="0539F7D8"/>
    <w:lvl w:ilvl="0" w:tentative="0">
      <w:start w:val="1"/>
      <w:numFmt w:val="decimal"/>
      <w:lvlText w:val="%1."/>
      <w:lvlJc w:val="left"/>
      <w:pPr>
        <w:ind w:left="425" w:hanging="425"/>
      </w:pPr>
      <w:rPr>
        <w:rFonts w:hint="default"/>
      </w:rPr>
    </w:lvl>
  </w:abstractNum>
  <w:abstractNum w:abstractNumId="14">
    <w:nsid w:val="10A0AC35"/>
    <w:multiLevelType w:val="singleLevel"/>
    <w:tmpl w:val="10A0AC35"/>
    <w:lvl w:ilvl="0" w:tentative="0">
      <w:start w:val="1"/>
      <w:numFmt w:val="decimal"/>
      <w:lvlText w:val="%1."/>
      <w:lvlJc w:val="left"/>
      <w:pPr>
        <w:ind w:left="425" w:hanging="425"/>
      </w:pPr>
      <w:rPr>
        <w:rFonts w:hint="default"/>
      </w:rPr>
    </w:lvl>
  </w:abstractNum>
  <w:abstractNum w:abstractNumId="15">
    <w:nsid w:val="209DBC55"/>
    <w:multiLevelType w:val="singleLevel"/>
    <w:tmpl w:val="209DBC55"/>
    <w:lvl w:ilvl="0" w:tentative="0">
      <w:start w:val="1"/>
      <w:numFmt w:val="decimal"/>
      <w:lvlText w:val="%1."/>
      <w:lvlJc w:val="left"/>
      <w:pPr>
        <w:ind w:left="425" w:hanging="425"/>
      </w:pPr>
      <w:rPr>
        <w:rFonts w:hint="default"/>
      </w:rPr>
    </w:lvl>
  </w:abstractNum>
  <w:abstractNum w:abstractNumId="16">
    <w:nsid w:val="2B9F6467"/>
    <w:multiLevelType w:val="singleLevel"/>
    <w:tmpl w:val="2B9F6467"/>
    <w:lvl w:ilvl="0" w:tentative="0">
      <w:start w:val="1"/>
      <w:numFmt w:val="decimal"/>
      <w:lvlText w:val="%1."/>
      <w:lvlJc w:val="left"/>
      <w:pPr>
        <w:ind w:left="425" w:hanging="425"/>
      </w:pPr>
      <w:rPr>
        <w:rFonts w:hint="default"/>
      </w:rPr>
    </w:lvl>
  </w:abstractNum>
  <w:abstractNum w:abstractNumId="17">
    <w:nsid w:val="5986219E"/>
    <w:multiLevelType w:val="singleLevel"/>
    <w:tmpl w:val="5986219E"/>
    <w:lvl w:ilvl="0" w:tentative="0">
      <w:start w:val="1"/>
      <w:numFmt w:val="decimal"/>
      <w:lvlText w:val="%1."/>
      <w:lvlJc w:val="left"/>
      <w:pPr>
        <w:ind w:left="425" w:hanging="425"/>
      </w:pPr>
      <w:rPr>
        <w:rFonts w:hint="default"/>
      </w:rPr>
    </w:lvl>
  </w:abstractNum>
  <w:abstractNum w:abstractNumId="18">
    <w:nsid w:val="6844EB03"/>
    <w:multiLevelType w:val="singleLevel"/>
    <w:tmpl w:val="6844EB03"/>
    <w:lvl w:ilvl="0" w:tentative="0">
      <w:start w:val="1"/>
      <w:numFmt w:val="decimal"/>
      <w:lvlText w:val="%1."/>
      <w:lvlJc w:val="left"/>
      <w:pPr>
        <w:ind w:left="425" w:hanging="425"/>
      </w:pPr>
      <w:rPr>
        <w:rFonts w:hint="default"/>
      </w:rPr>
    </w:lvl>
  </w:abstractNum>
  <w:abstractNum w:abstractNumId="19">
    <w:nsid w:val="6928BF15"/>
    <w:multiLevelType w:val="singleLevel"/>
    <w:tmpl w:val="6928BF15"/>
    <w:lvl w:ilvl="0" w:tentative="0">
      <w:start w:val="1"/>
      <w:numFmt w:val="decimal"/>
      <w:lvlText w:val="%1."/>
      <w:lvlJc w:val="left"/>
      <w:pPr>
        <w:ind w:left="425" w:hanging="425"/>
      </w:pPr>
      <w:rPr>
        <w:rFonts w:hint="default"/>
      </w:rPr>
    </w:lvl>
  </w:abstractNum>
  <w:abstractNum w:abstractNumId="20">
    <w:nsid w:val="7AEA885A"/>
    <w:multiLevelType w:val="singleLevel"/>
    <w:tmpl w:val="7AEA885A"/>
    <w:lvl w:ilvl="0" w:tentative="0">
      <w:start w:val="1"/>
      <w:numFmt w:val="decimal"/>
      <w:lvlText w:val="%1."/>
      <w:lvlJc w:val="left"/>
      <w:pPr>
        <w:ind w:left="425" w:hanging="425"/>
      </w:pPr>
      <w:rPr>
        <w:rFonts w:hint="default"/>
      </w:rPr>
    </w:lvl>
  </w:abstractNum>
  <w:num w:numId="1">
    <w:abstractNumId w:val="3"/>
  </w:num>
  <w:num w:numId="2">
    <w:abstractNumId w:val="18"/>
  </w:num>
  <w:num w:numId="3">
    <w:abstractNumId w:val="14"/>
  </w:num>
  <w:num w:numId="4">
    <w:abstractNumId w:val="19"/>
  </w:num>
  <w:num w:numId="5">
    <w:abstractNumId w:val="16"/>
  </w:num>
  <w:num w:numId="6">
    <w:abstractNumId w:val="9"/>
  </w:num>
  <w:num w:numId="7">
    <w:abstractNumId w:val="17"/>
  </w:num>
  <w:num w:numId="8">
    <w:abstractNumId w:val="6"/>
  </w:num>
  <w:num w:numId="9">
    <w:abstractNumId w:val="2"/>
  </w:num>
  <w:num w:numId="10">
    <w:abstractNumId w:val="4"/>
  </w:num>
  <w:num w:numId="11">
    <w:abstractNumId w:val="5"/>
  </w:num>
  <w:num w:numId="12">
    <w:abstractNumId w:val="8"/>
  </w:num>
  <w:num w:numId="13">
    <w:abstractNumId w:val="20"/>
  </w:num>
  <w:num w:numId="14">
    <w:abstractNumId w:val="15"/>
  </w:num>
  <w:num w:numId="15">
    <w:abstractNumId w:val="13"/>
  </w:num>
  <w:num w:numId="16">
    <w:abstractNumId w:val="0"/>
  </w:num>
  <w:num w:numId="17">
    <w:abstractNumId w:val="11"/>
  </w:num>
  <w:num w:numId="18">
    <w:abstractNumId w:val="7"/>
  </w:num>
  <w:num w:numId="19">
    <w:abstractNumId w:val="10"/>
  </w:num>
  <w:num w:numId="20">
    <w:abstractNumId w:val="12"/>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CC00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3384</Words>
  <Characters>3582</Characters>
  <Lines>0</Lines>
  <Paragraphs>0</Paragraphs>
  <TotalTime>18</TotalTime>
  <ScaleCrop>false</ScaleCrop>
  <LinksUpToDate>false</LinksUpToDate>
  <CharactersWithSpaces>3644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2026-06-10T14:01:32Z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