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管理评审制度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6785"/>
        <w:docPartObj>
          <w:docPartGallery w:val="Table of Contents"/>
          <w:docPartUnique/>
        </w:docPartObj>
      </w:sdtPr>
      <w:sdtEndPr>
        <w:rPr>
          <w:rFonts w:ascii="Arial" w:eastAsia="宋体" w:hAnsi="Arial"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_Toc31186 </w:instrText>
          </w:r>
          <w:r>
            <w:fldChar w:fldCharType="separate"/>
          </w:r>
          <w:r>
            <w:rPr>
              <w:rFonts w:hint="default"/>
              <w:lang w:val="en-US" w:eastAsia="zh-CN"/>
            </w:rPr>
            <w:t>1. 目的</w:t>
          </w:r>
          <w:r>
            <w:tab/>
          </w:r>
          <w:r>
            <w:fldChar w:fldCharType="begin"/>
          </w:r>
          <w:r>
            <w:instrText xml:space="preserve"> PAGEREF _Toc31186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_Toc18157 </w:instrText>
          </w:r>
          <w:r>
            <w:fldChar w:fldCharType="separate"/>
          </w:r>
          <w:r>
            <w:rPr>
              <w:rFonts w:hint="default"/>
              <w:lang w:val="en-US" w:eastAsia="zh-CN"/>
            </w:rPr>
            <w:t>2. 范围</w:t>
          </w:r>
          <w:r>
            <w:tab/>
          </w:r>
          <w:r>
            <w:fldChar w:fldCharType="begin"/>
          </w:r>
          <w:r>
            <w:instrText xml:space="preserve"> PAGEREF _Toc18157 \h </w:instrText>
          </w:r>
          <w:r>
            <w:fldChar w:fldCharType="separate"/>
          </w:r>
          <w:r>
            <w:t>5</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_Toc26915 </w:instrText>
          </w:r>
          <w:r>
            <w:fldChar w:fldCharType="separate"/>
          </w:r>
          <w:r>
            <w:rPr>
              <w:rFonts w:hint="default"/>
              <w:lang w:val="en-US" w:eastAsia="zh-CN"/>
            </w:rPr>
            <w:t>3. 职责与权限</w:t>
          </w:r>
          <w:r>
            <w:tab/>
          </w:r>
          <w:r>
            <w:fldChar w:fldCharType="begin"/>
          </w:r>
          <w:r>
            <w:instrText xml:space="preserve"> PAGEREF _Toc26915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_Toc8161 </w:instrText>
          </w:r>
          <w:r>
            <w:fldChar w:fldCharType="separate"/>
          </w:r>
          <w:r>
            <w:rPr>
              <w:rFonts w:hint="default"/>
              <w:lang w:val="en-US" w:eastAsia="zh-CN"/>
            </w:rPr>
            <w:t>3.1. 总经理</w:t>
          </w:r>
          <w:r>
            <w:tab/>
          </w:r>
          <w:r>
            <w:fldChar w:fldCharType="begin"/>
          </w:r>
          <w:r>
            <w:instrText xml:space="preserve"> PAGEREF _Toc8161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_Toc13752 </w:instrText>
          </w:r>
          <w:r>
            <w:fldChar w:fldCharType="separate"/>
          </w:r>
          <w:r>
            <w:rPr>
              <w:rFonts w:hint="default"/>
              <w:lang w:val="en-US" w:eastAsia="zh-CN"/>
            </w:rPr>
            <w:t>3.2. 产品质量部</w:t>
          </w:r>
          <w:r>
            <w:tab/>
          </w:r>
          <w:r>
            <w:fldChar w:fldCharType="begin"/>
          </w:r>
          <w:r>
            <w:instrText xml:space="preserve"> PAGEREF _Toc13752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_Toc20328 </w:instrText>
          </w:r>
          <w:r>
            <w:fldChar w:fldCharType="separate"/>
          </w:r>
          <w:r>
            <w:rPr>
              <w:rFonts w:hint="default"/>
              <w:lang w:val="en-US" w:eastAsia="zh-CN"/>
            </w:rPr>
            <w:t>3.3. 运维部</w:t>
          </w:r>
          <w:r>
            <w:tab/>
          </w:r>
          <w:r>
            <w:fldChar w:fldCharType="begin"/>
          </w:r>
          <w:r>
            <w:instrText xml:space="preserve"> PAGEREF _Toc20328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_Toc5225 </w:instrText>
          </w:r>
          <w:r>
            <w:fldChar w:fldCharType="separate"/>
          </w:r>
          <w:r>
            <w:rPr>
              <w:rFonts w:hint="default"/>
              <w:lang w:val="en-US" w:eastAsia="zh-CN"/>
            </w:rPr>
            <w:t>3.4. 研发部</w:t>
          </w:r>
          <w:r>
            <w:tab/>
          </w:r>
          <w:r>
            <w:fldChar w:fldCharType="begin"/>
          </w:r>
          <w:r>
            <w:instrText xml:space="preserve"> PAGEREF _Toc5225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_Toc25638 </w:instrText>
          </w:r>
          <w:r>
            <w:fldChar w:fldCharType="separate"/>
          </w:r>
          <w:r>
            <w:rPr>
              <w:rFonts w:hint="default"/>
              <w:lang w:val="en-US" w:eastAsia="zh-CN"/>
            </w:rPr>
            <w:t>3.5. 综合部</w:t>
          </w:r>
          <w:r>
            <w:tab/>
          </w:r>
          <w:r>
            <w:fldChar w:fldCharType="begin"/>
          </w:r>
          <w:r>
            <w:instrText xml:space="preserve"> PAGEREF _Toc25638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_Toc23012 </w:instrText>
          </w:r>
          <w:r>
            <w:fldChar w:fldCharType="separate"/>
          </w:r>
          <w:r>
            <w:rPr>
              <w:rFonts w:hint="default"/>
              <w:lang w:val="en-US" w:eastAsia="zh-CN"/>
            </w:rPr>
            <w:t>3.6. 采购部</w:t>
          </w:r>
          <w:r>
            <w:tab/>
          </w:r>
          <w:r>
            <w:fldChar w:fldCharType="begin"/>
          </w:r>
          <w:r>
            <w:instrText xml:space="preserve"> PAGEREF _Toc23012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_Toc17979 </w:instrText>
          </w:r>
          <w:r>
            <w:fldChar w:fldCharType="separate"/>
          </w:r>
          <w:r>
            <w:rPr>
              <w:rFonts w:hint="default"/>
              <w:lang w:val="en-US" w:eastAsia="zh-CN"/>
            </w:rPr>
            <w:t>3.7. 应急管理部</w:t>
          </w:r>
          <w:r>
            <w:tab/>
          </w:r>
          <w:r>
            <w:fldChar w:fldCharType="begin"/>
          </w:r>
          <w:r>
            <w:instrText xml:space="preserve"> PAGEREF _Toc17979 \h </w:instrText>
          </w:r>
          <w:r>
            <w:fldChar w:fldCharType="separate"/>
          </w:r>
          <w:r>
            <w:t>7</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_Toc25389 </w:instrText>
          </w:r>
          <w:r>
            <w:fldChar w:fldCharType="separate"/>
          </w:r>
          <w:r>
            <w:rPr>
              <w:rFonts w:hint="default"/>
              <w:lang w:val="en-US" w:eastAsia="zh-CN"/>
            </w:rPr>
            <w:t>4. 管理评审活动流程</w:t>
          </w:r>
          <w:r>
            <w:tab/>
          </w:r>
          <w:r>
            <w:fldChar w:fldCharType="begin"/>
          </w:r>
          <w:r>
            <w:instrText xml:space="preserve"> PAGEREF _Toc25389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_Toc18019 </w:instrText>
          </w:r>
          <w:r>
            <w:fldChar w:fldCharType="separate"/>
          </w:r>
          <w:r>
            <w:rPr>
              <w:rFonts w:hint="default"/>
              <w:lang w:val="en-US" w:eastAsia="zh-CN"/>
            </w:rPr>
            <w:t>4.1. 管理评审策划</w:t>
          </w:r>
          <w:r>
            <w:tab/>
          </w:r>
          <w:r>
            <w:fldChar w:fldCharType="begin"/>
          </w:r>
          <w:r>
            <w:instrText xml:space="preserve"> PAGEREF _Toc18019 \h </w:instrText>
          </w:r>
          <w:r>
            <w:fldChar w:fldCharType="separate"/>
          </w:r>
          <w:r>
            <w:t>7</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_Toc3795 </w:instrText>
          </w:r>
          <w:r>
            <w:fldChar w:fldCharType="separate"/>
          </w:r>
          <w:r>
            <w:rPr>
              <w:rFonts w:hint="default"/>
              <w:lang w:val="en-US" w:eastAsia="zh-CN"/>
            </w:rPr>
            <w:t>4.1.1. 评审频率</w:t>
          </w:r>
          <w:r>
            <w:tab/>
          </w:r>
          <w:r>
            <w:fldChar w:fldCharType="begin"/>
          </w:r>
          <w:r>
            <w:instrText xml:space="preserve"> PAGEREF _Toc3795 \h </w:instrText>
          </w:r>
          <w:r>
            <w:fldChar w:fldCharType="separate"/>
          </w:r>
          <w:r>
            <w:t>7</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_Toc16063 </w:instrText>
          </w:r>
          <w:r>
            <w:fldChar w:fldCharType="separate"/>
          </w:r>
          <w:r>
            <w:rPr>
              <w:rFonts w:hint="default"/>
              <w:lang w:val="en-US" w:eastAsia="zh-CN"/>
            </w:rPr>
            <w:t>4.1.2. 评审方式</w:t>
          </w:r>
          <w:r>
            <w:tab/>
          </w:r>
          <w:r>
            <w:fldChar w:fldCharType="begin"/>
          </w:r>
          <w:r>
            <w:instrText xml:space="preserve"> PAGEREF _Toc16063 \h </w:instrText>
          </w:r>
          <w:r>
            <w:fldChar w:fldCharType="separate"/>
          </w:r>
          <w:r>
            <w:t>8</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_Toc13555 </w:instrText>
          </w:r>
          <w:r>
            <w:fldChar w:fldCharType="separate"/>
          </w:r>
          <w:r>
            <w:rPr>
              <w:rFonts w:hint="default"/>
              <w:lang w:val="en-US" w:eastAsia="zh-CN"/>
            </w:rPr>
            <w:t>4.1.3. 评审内容</w:t>
          </w:r>
          <w:r>
            <w:tab/>
          </w:r>
          <w:r>
            <w:fldChar w:fldCharType="begin"/>
          </w:r>
          <w:r>
            <w:instrText xml:space="preserve"> PAGEREF _Toc13555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_Toc7003 </w:instrText>
          </w:r>
          <w:r>
            <w:fldChar w:fldCharType="separate"/>
          </w:r>
          <w:r>
            <w:rPr>
              <w:rFonts w:hint="default"/>
              <w:lang w:val="en-US" w:eastAsia="zh-CN"/>
            </w:rPr>
            <w:t>4.2. 评审准备</w:t>
          </w:r>
          <w:r>
            <w:tab/>
          </w:r>
          <w:r>
            <w:fldChar w:fldCharType="begin"/>
          </w:r>
          <w:r>
            <w:instrText xml:space="preserve"> PAGEREF _Toc7003 \h </w:instrText>
          </w:r>
          <w:r>
            <w:fldChar w:fldCharType="separate"/>
          </w:r>
          <w:r>
            <w:t>9</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_Toc15437 </w:instrText>
          </w:r>
          <w:r>
            <w:fldChar w:fldCharType="separate"/>
          </w:r>
          <w:r>
            <w:rPr>
              <w:rFonts w:hint="default"/>
              <w:lang w:val="en-US" w:eastAsia="zh-CN"/>
            </w:rPr>
            <w:t>4.2.1. 计划编制</w:t>
          </w:r>
          <w:r>
            <w:tab/>
          </w:r>
          <w:r>
            <w:fldChar w:fldCharType="begin"/>
          </w:r>
          <w:r>
            <w:instrText xml:space="preserve"> PAGEREF _Toc15437 \h </w:instrText>
          </w:r>
          <w:r>
            <w:fldChar w:fldCharType="separate"/>
          </w:r>
          <w:r>
            <w:t>9</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_Toc3945 </w:instrText>
          </w:r>
          <w:r>
            <w:fldChar w:fldCharType="separate"/>
          </w:r>
          <w:r>
            <w:rPr>
              <w:rFonts w:hint="default"/>
              <w:lang w:val="en-US" w:eastAsia="zh-CN"/>
            </w:rPr>
            <w:t>4.2.2. 相关准备</w:t>
          </w:r>
          <w:r>
            <w:tab/>
          </w:r>
          <w:r>
            <w:fldChar w:fldCharType="begin"/>
          </w:r>
          <w:r>
            <w:instrText xml:space="preserve"> PAGEREF _Toc3945 \h </w:instrText>
          </w:r>
          <w:r>
            <w:fldChar w:fldCharType="separate"/>
          </w:r>
          <w:r>
            <w:t>9</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_Toc7406 </w:instrText>
          </w:r>
          <w:r>
            <w:fldChar w:fldCharType="separate"/>
          </w:r>
          <w:r>
            <w:rPr>
              <w:rFonts w:hint="default"/>
              <w:lang w:val="en-US" w:eastAsia="zh-CN"/>
            </w:rPr>
            <w:t>4.2.3. 资料汇总</w:t>
          </w:r>
          <w:r>
            <w:tab/>
          </w:r>
          <w:r>
            <w:fldChar w:fldCharType="begin"/>
          </w:r>
          <w:r>
            <w:instrText xml:space="preserve"> PAGEREF _Toc7406 \h </w:instrText>
          </w:r>
          <w:r>
            <w:fldChar w:fldCharType="separate"/>
          </w:r>
          <w:r>
            <w:t>9</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_Toc9669 </w:instrText>
          </w:r>
          <w:r>
            <w:fldChar w:fldCharType="separate"/>
          </w:r>
          <w:r>
            <w:rPr>
              <w:rFonts w:hint="default"/>
              <w:lang w:val="en-US" w:eastAsia="zh-CN"/>
            </w:rPr>
            <w:t>4.2.4. 议程安排</w:t>
          </w:r>
          <w:r>
            <w:tab/>
          </w:r>
          <w:r>
            <w:fldChar w:fldCharType="begin"/>
          </w:r>
          <w:r>
            <w:instrText xml:space="preserve"> PAGEREF _Toc9669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_Toc25917 </w:instrText>
          </w:r>
          <w:r>
            <w:fldChar w:fldCharType="separate"/>
          </w:r>
          <w:r>
            <w:rPr>
              <w:rFonts w:hint="default"/>
              <w:lang w:val="en-US" w:eastAsia="zh-CN"/>
            </w:rPr>
            <w:t>4.3. 评审输入</w:t>
          </w:r>
          <w:r>
            <w:tab/>
          </w:r>
          <w:r>
            <w:fldChar w:fldCharType="begin"/>
          </w:r>
          <w:r>
            <w:instrText xml:space="preserve"> PAGEREF _Toc25917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_Toc3659 </w:instrText>
          </w:r>
          <w:r>
            <w:fldChar w:fldCharType="separate"/>
          </w:r>
          <w:r>
            <w:rPr>
              <w:rFonts w:hint="default"/>
              <w:lang w:val="en-US" w:eastAsia="zh-CN"/>
            </w:rPr>
            <w:t>4.4. 评审会议</w:t>
          </w:r>
          <w:r>
            <w:tab/>
          </w:r>
          <w:r>
            <w:fldChar w:fldCharType="begin"/>
          </w:r>
          <w:r>
            <w:instrText xml:space="preserve"> PAGEREF _Toc3659 \h </w:instrText>
          </w:r>
          <w:r>
            <w:fldChar w:fldCharType="separate"/>
          </w:r>
          <w:r>
            <w:t>10</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_Toc15474 </w:instrText>
          </w:r>
          <w:r>
            <w:fldChar w:fldCharType="separate"/>
          </w:r>
          <w:r>
            <w:rPr>
              <w:rFonts w:hint="default"/>
              <w:lang w:val="en-US" w:eastAsia="zh-CN"/>
            </w:rPr>
            <w:t>4.4.1. 会议签到</w:t>
          </w:r>
          <w:r>
            <w:tab/>
          </w:r>
          <w:r>
            <w:fldChar w:fldCharType="begin"/>
          </w:r>
          <w:r>
            <w:instrText xml:space="preserve"> PAGEREF _Toc15474 \h </w:instrText>
          </w:r>
          <w:r>
            <w:fldChar w:fldCharType="separate"/>
          </w:r>
          <w:r>
            <w:t>10</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_Toc22259 </w:instrText>
          </w:r>
          <w:r>
            <w:fldChar w:fldCharType="separate"/>
          </w:r>
          <w:r>
            <w:rPr>
              <w:rFonts w:hint="default"/>
              <w:lang w:val="en-US" w:eastAsia="zh-CN"/>
            </w:rPr>
            <w:t>4.4.2. 专题报告</w:t>
          </w:r>
          <w:r>
            <w:tab/>
          </w:r>
          <w:r>
            <w:fldChar w:fldCharType="begin"/>
          </w:r>
          <w:r>
            <w:instrText xml:space="preserve"> PAGEREF _Toc22259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_Toc30143 </w:instrText>
          </w:r>
          <w:r>
            <w:fldChar w:fldCharType="separate"/>
          </w:r>
          <w:r>
            <w:rPr>
              <w:rFonts w:hint="default"/>
              <w:lang w:val="en-US" w:eastAsia="zh-CN"/>
            </w:rPr>
            <w:t>4.4.3. 讨论审议</w:t>
          </w:r>
          <w:r>
            <w:tab/>
          </w:r>
          <w:r>
            <w:fldChar w:fldCharType="begin"/>
          </w:r>
          <w:r>
            <w:instrText xml:space="preserve"> PAGEREF _Toc30143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_Toc30430 </w:instrText>
          </w:r>
          <w:r>
            <w:fldChar w:fldCharType="separate"/>
          </w:r>
          <w:r>
            <w:rPr>
              <w:rFonts w:hint="default"/>
              <w:lang w:val="en-US" w:eastAsia="zh-CN"/>
            </w:rPr>
            <w:t>4.4.4. 会议总结</w:t>
          </w:r>
          <w:r>
            <w:tab/>
          </w:r>
          <w:r>
            <w:fldChar w:fldCharType="begin"/>
          </w:r>
          <w:r>
            <w:instrText xml:space="preserve"> PAGEREF _Toc30430 \h </w:instrText>
          </w:r>
          <w:r>
            <w:fldChar w:fldCharType="separate"/>
          </w:r>
          <w:r>
            <w:t>11</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_Toc8620 </w:instrText>
          </w:r>
          <w:r>
            <w:fldChar w:fldCharType="separate"/>
          </w:r>
          <w:r>
            <w:rPr>
              <w:rFonts w:hint="default"/>
              <w:lang w:val="en-US" w:eastAsia="zh-CN"/>
            </w:rPr>
            <w:t>4.4.5. 会议记录</w:t>
          </w:r>
          <w:r>
            <w:tab/>
          </w:r>
          <w:r>
            <w:fldChar w:fldCharType="begin"/>
          </w:r>
          <w:r>
            <w:instrText xml:space="preserve"> PAGEREF _Toc8620 \h </w:instrText>
          </w:r>
          <w:r>
            <w:fldChar w:fldCharType="separate"/>
          </w:r>
          <w:r>
            <w:t>12</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_Toc691 </w:instrText>
          </w:r>
          <w:r>
            <w:fldChar w:fldCharType="separate"/>
          </w:r>
          <w:r>
            <w:rPr>
              <w:rFonts w:hint="default"/>
              <w:lang w:val="en-US" w:eastAsia="zh-CN"/>
            </w:rPr>
            <w:t>4.5. 评审输出</w:t>
          </w:r>
          <w:r>
            <w:tab/>
          </w:r>
          <w:r>
            <w:fldChar w:fldCharType="begin"/>
          </w:r>
          <w:r>
            <w:instrText xml:space="preserve"> PAGEREF _Toc691 \h </w:instrText>
          </w:r>
          <w:r>
            <w:fldChar w:fldCharType="separate"/>
          </w:r>
          <w:r>
            <w:t>12</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_Toc14203 </w:instrText>
          </w:r>
          <w:r>
            <w:fldChar w:fldCharType="separate"/>
          </w:r>
          <w:r>
            <w:rPr>
              <w:rFonts w:hint="default"/>
              <w:lang w:val="en-US" w:eastAsia="zh-CN"/>
            </w:rPr>
            <w:t>4.5.1. 输出内容</w:t>
          </w:r>
          <w:r>
            <w:tab/>
          </w:r>
          <w:r>
            <w:fldChar w:fldCharType="begin"/>
          </w:r>
          <w:r>
            <w:instrText xml:space="preserve"> PAGEREF _Toc14203 \h </w:instrText>
          </w:r>
          <w:r>
            <w:fldChar w:fldCharType="separate"/>
          </w:r>
          <w:r>
            <w:t>12</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_Toc23806 </w:instrText>
          </w:r>
          <w:r>
            <w:fldChar w:fldCharType="separate"/>
          </w:r>
          <w:r>
            <w:rPr>
              <w:rFonts w:hint="default"/>
              <w:lang w:val="en-US" w:eastAsia="zh-CN"/>
            </w:rPr>
            <w:t>4.5.2. 报告编制</w:t>
          </w:r>
          <w:r>
            <w:tab/>
          </w:r>
          <w:r>
            <w:fldChar w:fldCharType="begin"/>
          </w:r>
          <w:r>
            <w:instrText xml:space="preserve"> PAGEREF _Toc23806 \h </w:instrText>
          </w:r>
          <w:r>
            <w:fldChar w:fldCharType="separate"/>
          </w:r>
          <w:r>
            <w:t>12</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_Toc32401 </w:instrText>
          </w:r>
          <w:r>
            <w:fldChar w:fldCharType="separate"/>
          </w:r>
          <w:r>
            <w:rPr>
              <w:rFonts w:hint="default"/>
              <w:lang w:val="en-US" w:eastAsia="zh-CN"/>
            </w:rPr>
            <w:t>4.5.3. 报告审批</w:t>
          </w:r>
          <w:r>
            <w:tab/>
          </w:r>
          <w:r>
            <w:fldChar w:fldCharType="begin"/>
          </w:r>
          <w:r>
            <w:instrText xml:space="preserve"> PAGEREF _Toc32401 \h </w:instrText>
          </w:r>
          <w:r>
            <w:fldChar w:fldCharType="separate"/>
          </w:r>
          <w:r>
            <w:t>13</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_Toc2675 </w:instrText>
          </w:r>
          <w:r>
            <w:fldChar w:fldCharType="separate"/>
          </w:r>
          <w:r>
            <w:rPr>
              <w:rFonts w:hint="default"/>
              <w:lang w:val="en-US" w:eastAsia="zh-CN"/>
            </w:rPr>
            <w:t>4.5.4. 报告发放</w:t>
          </w:r>
          <w:r>
            <w:tab/>
          </w:r>
          <w:r>
            <w:fldChar w:fldCharType="begin"/>
          </w:r>
          <w:r>
            <w:instrText xml:space="preserve"> PAGEREF _Toc2675 \h </w:instrText>
          </w:r>
          <w:r>
            <w:fldChar w:fldCharType="separate"/>
          </w:r>
          <w:r>
            <w:t>13</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_Toc24626 </w:instrText>
          </w:r>
          <w:r>
            <w:fldChar w:fldCharType="separate"/>
          </w:r>
          <w:r>
            <w:rPr>
              <w:rFonts w:hint="default"/>
              <w:lang w:val="en-US" w:eastAsia="zh-CN"/>
            </w:rPr>
            <w:t>4.6. 不符合项改进和验证</w:t>
          </w:r>
          <w:r>
            <w:tab/>
          </w:r>
          <w:r>
            <w:fldChar w:fldCharType="begin"/>
          </w:r>
          <w:r>
            <w:instrText xml:space="preserve"> PAGEREF _Toc24626 \h </w:instrText>
          </w:r>
          <w:r>
            <w:fldChar w:fldCharType="separate"/>
          </w:r>
          <w:r>
            <w:t>13</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_Toc20790 </w:instrText>
          </w:r>
          <w:r>
            <w:fldChar w:fldCharType="separate"/>
          </w:r>
          <w:r>
            <w:rPr>
              <w:rFonts w:hint="default"/>
              <w:lang w:val="en-US" w:eastAsia="zh-CN"/>
            </w:rPr>
            <w:t>4.6.1. 改进计划制定</w:t>
          </w:r>
          <w:r>
            <w:tab/>
          </w:r>
          <w:r>
            <w:fldChar w:fldCharType="begin"/>
          </w:r>
          <w:r>
            <w:instrText xml:space="preserve"> PAGEREF _Toc20790 \h </w:instrText>
          </w:r>
          <w:r>
            <w:fldChar w:fldCharType="separate"/>
          </w:r>
          <w:r>
            <w:t>13</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_Toc19476 </w:instrText>
          </w:r>
          <w:r>
            <w:fldChar w:fldCharType="separate"/>
          </w:r>
          <w:r>
            <w:rPr>
              <w:rFonts w:hint="default"/>
              <w:lang w:val="en-US" w:eastAsia="zh-CN"/>
            </w:rPr>
            <w:t>4.6.2. 改进实施</w:t>
          </w:r>
          <w:r>
            <w:tab/>
          </w:r>
          <w:r>
            <w:fldChar w:fldCharType="begin"/>
          </w:r>
          <w:r>
            <w:instrText xml:space="preserve"> PAGEREF _Toc19476 \h </w:instrText>
          </w:r>
          <w:r>
            <w:fldChar w:fldCharType="separate"/>
          </w:r>
          <w:r>
            <w:t>13</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_Toc17320 </w:instrText>
          </w:r>
          <w:r>
            <w:fldChar w:fldCharType="separate"/>
          </w:r>
          <w:r>
            <w:rPr>
              <w:rFonts w:hint="default"/>
              <w:lang w:val="en-US" w:eastAsia="zh-CN"/>
            </w:rPr>
            <w:t>4.6.3. 跟踪监督</w:t>
          </w:r>
          <w:r>
            <w:tab/>
          </w:r>
          <w:r>
            <w:fldChar w:fldCharType="begin"/>
          </w:r>
          <w:r>
            <w:instrText xml:space="preserve"> PAGEREF _Toc17320 \h </w:instrText>
          </w:r>
          <w:r>
            <w:fldChar w:fldCharType="separate"/>
          </w:r>
          <w:r>
            <w:t>13</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_Toc28310 </w:instrText>
          </w:r>
          <w:r>
            <w:fldChar w:fldCharType="separate"/>
          </w:r>
          <w:r>
            <w:rPr>
              <w:rFonts w:hint="default"/>
              <w:lang w:val="en-US" w:eastAsia="zh-CN"/>
            </w:rPr>
            <w:t>4.6.4. 效果验证</w:t>
          </w:r>
          <w:r>
            <w:tab/>
          </w:r>
          <w:r>
            <w:fldChar w:fldCharType="begin"/>
          </w:r>
          <w:r>
            <w:instrText xml:space="preserve"> PAGEREF _Toc28310 \h </w:instrText>
          </w:r>
          <w:r>
            <w:fldChar w:fldCharType="separate"/>
          </w:r>
          <w:r>
            <w:t>13</w:t>
          </w:r>
          <w:r>
            <w:fldChar w:fldCharType="end"/>
          </w:r>
          <w:r>
            <w:fldChar w:fldCharType="end"/>
          </w:r>
        </w:p>
        <w:p>
          <w:pPr>
            <w:pStyle w:val="TOC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_Toc6718 </w:instrText>
          </w:r>
          <w:r>
            <w:fldChar w:fldCharType="separate"/>
          </w:r>
          <w:r>
            <w:rPr>
              <w:rFonts w:hint="default"/>
              <w:lang w:val="en-US" w:eastAsia="zh-CN"/>
            </w:rPr>
            <w:t>4.6.5. 记录归档</w:t>
          </w:r>
          <w:r>
            <w:tab/>
          </w:r>
          <w:r>
            <w:fldChar w:fldCharType="begin"/>
          </w:r>
          <w:r>
            <w:instrText xml:space="preserve"> PAGEREF _Toc6718 \h </w:instrText>
          </w:r>
          <w:r>
            <w:fldChar w:fldCharType="separate"/>
          </w:r>
          <w:r>
            <w:t>14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_Toc11676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_Toc11676 \h </w:instrText>
          </w:r>
          <w:r>
            <w:fldChar w:fldCharType="separate"/>
          </w:r>
          <w:r>
            <w:t>14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_Toc7536 </w:instrText>
          </w:r>
          <w:r>
            <w:fldChar w:fldCharType="separate"/>
          </w:r>
          <w:r>
            <w:rPr>
              <w:rFonts w:hint="default"/>
              <w:lang w:val="en-US" w:eastAsia="zh-CN"/>
            </w:rPr>
            <w:t>6. 输出的文件和记录</w:t>
          </w:r>
          <w:r>
            <w:tab/>
          </w:r>
          <w:r>
            <w:fldChar w:fldCharType="begin"/>
          </w:r>
          <w:r>
            <w:instrText xml:space="preserve"> PAGEREF _Toc7536 \h </w:instrText>
          </w:r>
          <w:r>
            <w:fldChar w:fldCharType="separate"/>
          </w:r>
          <w:r>
            <w:t>14</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宋体" w:hAnsi="Arial"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_Toc10178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评审输入表</w:t>
      </w:r>
      <w:r>
        <w:tab/>
      </w:r>
      <w:r>
        <w:fldChar w:fldCharType="begin"/>
      </w:r>
      <w:r>
        <w:instrText xml:space="preserve"> PAGEREF _Toc10178 \h </w:instrText>
      </w:r>
      <w:r>
        <w:fldChar w:fldCharType="separate"/>
      </w:r>
      <w:r>
        <w:t>10</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_Toc18805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_Toc18805 \h </w:instrText>
      </w:r>
      <w:r>
        <w:fldChar w:fldCharType="separate"/>
      </w:r>
      <w:r>
        <w:t>14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_Toc8805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_Toc8805 \h </w:instrText>
      </w:r>
      <w:r>
        <w:fldChar w:fldCharType="separate"/>
      </w:r>
      <w:r>
        <w:t>14</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宋体" w:hAnsi="Arial" w:cs="Arial"/>
          <w:snapToGrid w:val="0"/>
          <w:color w:val="000000"/>
          <w:kern w:val="0"/>
          <w:sz w:val="21"/>
          <w:szCs w:val="21"/>
          <w:lang w:val="en-US" w:eastAsia="en-US" w:bidi="ar-SA"/>
        </w:rPr>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9247"/>
      <w:bookmarkStart w:id="2" w:name="_Toc31186"/>
      <w:r>
        <w:rPr>
          <w:rFonts w:hint="default"/>
          <w:lang w:val="en-US" w:eastAsia="zh-CN"/>
        </w:rPr>
        <w:t>目的</w:t>
      </w:r>
      <w:bookmarkEnd w:id="1"/>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旨在对华风数据(深圳)有限公司（以下简称“公司”）信息技术服务标准体系的适宜性、充分性和有效性进行评审，使公司信息技术服务标准体系不断完善并持续有效运行，满足公司运维服务策略要求，实现公司运维服务管理目标。通过管理评审，确保运维服务能力（人员、资源、技术、过程、交付</w:t>
      </w:r>
      <w:r>
        <w:rPr>
          <w:rFonts w:hint="eastAsia"/>
          <w:lang w:val="en-US" w:eastAsia="zh-CN"/>
        </w:rPr>
        <w:t>和</w:t>
      </w:r>
      <w:r>
        <w:rPr>
          <w:rFonts w:hint="default"/>
          <w:lang w:val="en-US" w:eastAsia="zh-CN"/>
        </w:rPr>
        <w:t>应急）持续满足客户需求和业务发展要求。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8157"/>
      <w:bookmarkStart w:id="4" w:name="_Toc5675"/>
      <w:r>
        <w:rPr>
          <w:rFonts w:hint="default"/>
          <w:lang w:val="en-US" w:eastAsia="zh-CN"/>
        </w:rPr>
        <w:t>范围</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本制度适用于对公司的信息技术服务标准体系的适宜性、充分性和有效性进行评审和评价，覆盖运维服务相关的所有部门：运维部、研发部、产品质量部、综合部、采购部、应急管理部。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4400"/>
      <w:bookmarkStart w:id="6" w:name="_Toc26915"/>
      <w:r>
        <w:rPr>
          <w:rFonts w:hint="default"/>
          <w:lang w:val="en-US" w:eastAsia="zh-CN"/>
        </w:rPr>
        <w:t>职责与权限</w:t>
      </w:r>
      <w:bookmarkEnd w:id="5"/>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0135"/>
      <w:bookmarkStart w:id="8" w:name="_Toc8161"/>
      <w:r>
        <w:rPr>
          <w:rFonts w:hint="default"/>
          <w:lang w:val="en-US" w:eastAsia="zh-CN"/>
        </w:rPr>
        <w:t>总经理</w:t>
      </w:r>
      <w:bookmarkEnd w:id="7"/>
      <w:bookmarkEnd w:id="8"/>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主持管理评审会议。</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批准管理评审计划及管理评审报告。</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对管理评审中提出的重大改进事项进行决策。</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为管理评审决议的执行提供资源保障。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3752"/>
      <w:bookmarkStart w:id="10" w:name="_Toc31929"/>
      <w:r>
        <w:rPr>
          <w:rFonts w:hint="default"/>
          <w:lang w:val="en-US" w:eastAsia="zh-CN"/>
        </w:rPr>
        <w:t>产品质量部</w:t>
      </w:r>
      <w:bookmarkEnd w:id="9"/>
      <w:bookmarkEnd w:id="10"/>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负责本制度的制定、解释和修订。</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负责组织编制《管理评审计划》，经总经理批准后下发。</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负责组织管理评审会议，包括会议通知、议程安排、会议签到等。</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负责组织相关部门完成管理评审输入材料的收集、整理及准备工作。</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负责体系运行有效性度量结果的审核。</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负责记录管理评审会议内容，形成《管理评审会议记录》。</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负责编写《管理评审报告》，经审核批准后下发并存档。</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负责对管理评审决议的执行进行跟踪和监督，组织改进效果的验证。</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负责管理评审资料的归档管理。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6638"/>
      <w:bookmarkStart w:id="12" w:name="_Toc20328"/>
      <w:r>
        <w:rPr>
          <w:rFonts w:hint="default"/>
          <w:lang w:val="en-US" w:eastAsia="zh-CN"/>
        </w:rPr>
        <w:t>运维部</w:t>
      </w:r>
      <w:bookmarkEnd w:id="11"/>
      <w:bookmarkEnd w:id="12"/>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交付能力域运行情况（交付项目完成情况、交付质量报告）</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应急响应能力域执行情况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服务台运行情况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备件库管理情况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运维服务KPI达成情况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参与管理评审会议，汇报本部门体系运行情况。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负责根据管理评审决议，对本部门相关的改进项进行整改实施。</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配合产品质量部进行改进效果的验证。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0578"/>
      <w:bookmarkStart w:id="14" w:name="_Toc5225"/>
      <w:r>
        <w:rPr>
          <w:rFonts w:hint="default"/>
          <w:lang w:val="en-US" w:eastAsia="zh-CN"/>
        </w:rPr>
        <w:t>研发部</w:t>
      </w:r>
      <w:bookmarkEnd w:id="13"/>
      <w:bookmarkEnd w:id="14"/>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技术能力域运行情况（技术研发进展、工具应用情况）</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eastAsia"/>
          <w:lang w:val="en-US" w:eastAsia="zh-CN"/>
        </w:rPr>
        <w:t>服务</w:t>
      </w:r>
      <w:r>
        <w:rPr>
          <w:rFonts w:hint="default"/>
          <w:lang w:val="en-US" w:eastAsia="zh-CN"/>
        </w:rPr>
        <w:t>知识管理情况</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运维工具研发成果</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技术难题攻关情况</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参与管理评审会议，汇报技术能力域运行情况。</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负责根据管理评审决议，对本部门相关的改进项进行整改实施。</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配合产品质量部进行改进效果的验证。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0850"/>
      <w:bookmarkStart w:id="16" w:name="_Toc25638"/>
      <w:r>
        <w:rPr>
          <w:rFonts w:hint="default"/>
          <w:lang w:val="en-US" w:eastAsia="zh-CN"/>
        </w:rPr>
        <w:t>综合部</w:t>
      </w:r>
      <w:bookmarkEnd w:id="15"/>
      <w:bookmarkEnd w:id="16"/>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人员能力域运行情况（招聘、培训、</w:t>
      </w:r>
      <w:r>
        <w:rPr>
          <w:rFonts w:hint="eastAsia"/>
          <w:lang w:val="en-US" w:eastAsia="zh-CN"/>
        </w:rPr>
        <w:t>储备、备份、</w:t>
      </w:r>
      <w:r>
        <w:rPr>
          <w:rFonts w:hint="default"/>
          <w:lang w:val="en-US" w:eastAsia="zh-CN"/>
        </w:rPr>
        <w:t>绩效、人员流动等）</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人员培训计划执行情况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人员技能评价结果</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资质管理情况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参与管理评审会议，汇报人员能力域运行情况。</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负责根据管理评审决议，对本部门相关的改进项进行整改实施。</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配合产品质量部进行改进效果的验证。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3012"/>
      <w:bookmarkStart w:id="18" w:name="_Toc29760"/>
      <w:r>
        <w:rPr>
          <w:rFonts w:hint="default"/>
          <w:lang w:val="en-US" w:eastAsia="zh-CN"/>
        </w:rPr>
        <w:t>采购部</w:t>
      </w:r>
      <w:bookmarkEnd w:id="17"/>
      <w:bookmarkEnd w:id="18"/>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采购执行情况</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供应商管理情况</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备件采购保障情况</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参与管理评审会议，汇报资源保障相关情况。</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负责根据管理评审决议，对本部门相关的改进项进行整改实施。</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配合产品质量部进行改进效果的验证。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3926"/>
      <w:bookmarkStart w:id="20" w:name="_Toc17979"/>
      <w:r>
        <w:rPr>
          <w:rFonts w:hint="default"/>
          <w:lang w:val="en-US" w:eastAsia="zh-CN"/>
        </w:rPr>
        <w:t>应急管理部</w:t>
      </w:r>
      <w:bookmarkEnd w:id="19"/>
      <w:bookmarkEnd w:id="20"/>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负责按照管理评审计划要求，准备本部门相关的评审输入材料，包括：</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应急能力域运行情况（应急预案、应急演练、应急响应）</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应急演练总结报告</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应急事件复盘报告</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应急物资管理情况</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参与管理评审会议，汇报应急能力域运行情况。</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负责根据管理评审决议，对本部门相关的改进项进行整改实施。</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配合产品质量部进行改进效果的验证。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5389"/>
      <w:bookmarkStart w:id="22" w:name="_Toc860"/>
      <w:r>
        <w:rPr>
          <w:rFonts w:hint="default"/>
          <w:lang w:val="en-US" w:eastAsia="zh-CN"/>
        </w:rPr>
        <w:t>管理评审活动流程</w:t>
      </w:r>
      <w:bookmarkEnd w:id="21"/>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0693"/>
      <w:bookmarkStart w:id="24" w:name="_Toc18019"/>
      <w:r>
        <w:rPr>
          <w:rFonts w:hint="default"/>
          <w:lang w:val="en-US" w:eastAsia="zh-CN"/>
        </w:rPr>
        <w:t>管理评审策划</w:t>
      </w:r>
      <w:bookmarkEnd w:id="23"/>
      <w:bookmarkEnd w:id="2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795"/>
      <w:bookmarkStart w:id="26" w:name="_Toc30764"/>
      <w:r>
        <w:rPr>
          <w:rFonts w:hint="default"/>
          <w:lang w:val="en-US" w:eastAsia="zh-CN"/>
        </w:rPr>
        <w:t>评审频率</w:t>
      </w:r>
      <w:bookmarkEnd w:id="25"/>
      <w:bookmarkEnd w:id="26"/>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管理评审由总经理主持，各部门负责人参加，通常每年</w:t>
      </w:r>
      <w:r>
        <w:rPr>
          <w:rFonts w:hint="eastAsia"/>
          <w:lang w:val="en-US" w:eastAsia="zh-CN"/>
        </w:rPr>
        <w:t>度</w:t>
      </w:r>
      <w:r>
        <w:rPr>
          <w:rFonts w:hint="default"/>
          <w:lang w:val="en-US" w:eastAsia="zh-CN"/>
        </w:rPr>
        <w:t>至少进行一次，一般在内部审核结束后一个月内进行。体系运行关键活动，如能力度量、内部审核等应安排在管理评审会议之前完成，相关活动记录应提交管理评审会议作为输入。</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非定期评审：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当遇到下列情况时，可不受上述条件限制，由产品质量部制定管理评审计划，经总经理批准后实施：</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运维服务内容发生重大变更时</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发生重大信息安全事件时</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公司组织架构发生重大变更时</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管理体系发生重大变化时</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客户要求或外部环境条件发生重大变化时</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内部审核、客户审核或外部审核发现对全组织有影响的管理体系重大不符合项时</w:t>
      </w:r>
      <w:r>
        <w:rPr>
          <w:rFonts w:hint="eastAsia"/>
          <w:lang w:val="en-US" w:eastAsia="zh-CN"/>
        </w:rP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6063"/>
      <w:bookmarkStart w:id="28" w:name="_Toc27201"/>
      <w:r>
        <w:rPr>
          <w:rFonts w:hint="default"/>
          <w:lang w:val="en-US" w:eastAsia="zh-CN"/>
        </w:rPr>
        <w:t>评审方式</w:t>
      </w:r>
      <w:bookmarkEnd w:id="27"/>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管理评审以专题会议的方式进行，由总经理主持管理评审会议。会议参加人员包括总经理、产品质量部经理、各部门负责人、内审小组代表，必要时可吸收相关专业人员参加。</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1914"/>
      <w:bookmarkStart w:id="30" w:name="_Toc13555"/>
      <w:r>
        <w:rPr>
          <w:rFonts w:hint="default"/>
          <w:lang w:val="en-US" w:eastAsia="zh-CN"/>
        </w:rPr>
        <w:t>评审内容</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管理评审应覆盖但不限于以下内容：</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战略层面：运维服务方针、目标的适宜性和达成情况</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体系层面：运维服务管理体系文件的适宜性和有效性，与客户签订的SLA协议及客户需求的满足情况</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能力层面：六大能力域（人员、资源、技术、过程、交付</w:t>
      </w:r>
      <w:r>
        <w:rPr>
          <w:rFonts w:hint="eastAsia"/>
          <w:lang w:val="en-US" w:eastAsia="zh-CN"/>
        </w:rPr>
        <w:t>和</w:t>
      </w:r>
      <w:r>
        <w:rPr>
          <w:rFonts w:hint="default"/>
          <w:lang w:val="en-US" w:eastAsia="zh-CN"/>
        </w:rPr>
        <w:t>应急）的运行效果</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资源层面：运维服务管理的组织结构、资源配置是否满足需要</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过程层面：体系运行过程中的各项活动是否受控，过程衡量指标与KPI的达成情况</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改进层面：上次管理评审决议的落实情况，内审发现问题的整改情况</w:t>
      </w:r>
    </w:p>
    <w:p>
      <w:pPr>
        <w:pStyle w:val="a1"/>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外部层面：法律法规要求、合同责任、外部环境变化对体系的影响</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7003"/>
      <w:bookmarkStart w:id="32" w:name="_Toc627"/>
      <w:r>
        <w:rPr>
          <w:rFonts w:hint="default"/>
          <w:lang w:val="en-US" w:eastAsia="zh-CN"/>
        </w:rPr>
        <w:t>评审准备</w:t>
      </w:r>
      <w:bookmarkEnd w:id="31"/>
      <w:bookmarkEnd w:id="3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1546"/>
      <w:bookmarkStart w:id="34" w:name="_Toc15437"/>
      <w:r>
        <w:rPr>
          <w:rFonts w:hint="default"/>
          <w:lang w:val="en-US" w:eastAsia="zh-CN"/>
        </w:rPr>
        <w:t>计划编制</w:t>
      </w:r>
      <w:bookmarkEnd w:id="33"/>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产品质量部负责组织编制《管理评审计划》，明确以下内容：</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评审目的、依据、范围</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评审时间安排</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参会人员</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评审内容</w:t>
      </w:r>
    </w:p>
    <w:p>
      <w:pPr>
        <w:pStyle w:val="a1"/>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各部门需提交的输入材料及提交时限</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《管理评审计划》经总经理批准后，提前至少两周下发至各相关部门。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3945"/>
      <w:bookmarkStart w:id="36" w:name="_Toc10094"/>
      <w:r>
        <w:rPr>
          <w:rFonts w:hint="default"/>
          <w:lang w:val="en-US" w:eastAsia="zh-CN"/>
        </w:rPr>
        <w:t>相关准备</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各相关部门按《管理评审计划》要求，对照管理体系运行情况进行自评，按各自职责准备评审输入材料，并于规定时间内提交至产品质量部。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7406"/>
      <w:bookmarkStart w:id="38" w:name="_Toc8410"/>
      <w:r>
        <w:rPr>
          <w:rFonts w:hint="default"/>
          <w:lang w:val="en-US" w:eastAsia="zh-CN"/>
        </w:rPr>
        <w:t>资料汇总</w:t>
      </w:r>
      <w:bookmarkEnd w:id="37"/>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产品质量部将各相关部门提交的材料进行汇总、整理，形成《管理评审输入材料汇编》，提交总经理审阅。产品质量部应对输入材料的完整性和质量进行审核，确保满足评审要求。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13729"/>
      <w:bookmarkStart w:id="40" w:name="_Toc9669"/>
      <w:r>
        <w:rPr>
          <w:rFonts w:hint="default"/>
          <w:lang w:val="en-US" w:eastAsia="zh-CN"/>
        </w:rPr>
        <w:t>议程安排</w:t>
      </w:r>
      <w:bookmarkEnd w:id="39"/>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产品质量部应安排好会议议程，经总经理批准后，提前下发《管理评审会议通知》至各参会人员，明确会议时间、地点、议程和注意事项。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9241"/>
      <w:bookmarkStart w:id="42" w:name="_Toc25917"/>
      <w:r>
        <w:rPr>
          <w:rFonts w:hint="default"/>
          <w:lang w:val="en-US" w:eastAsia="zh-CN"/>
        </w:rPr>
        <w:t>评审输入</w:t>
      </w:r>
      <w:bookmarkEnd w:id="41"/>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管理评审的输入应包括但不限于以下内容。评审依据需包括与客户签订的SLA协议及客户需求、相应的法律法规要求</w:t>
      </w:r>
      <w:r>
        <w:rPr>
          <w:rFonts w:hint="eastAsia"/>
          <w:lang w:val="en-US" w:eastAsia="zh-CN"/>
        </w:rPr>
        <w:t>，评审输入的具体内容如表4-1所示。</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3" w:name="_Toc10178"/>
      <w:r>
        <w:rPr>
          <w:rFonts w:hint="eastAsia"/>
          <w:lang w:val="en-US" w:eastAsia="zh-CN"/>
        </w:rPr>
        <w:t xml:space="preserve"> 评审输入表</w:t>
      </w:r>
      <w:bookmarkEnd w:id="4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43"/>
        <w:gridCol w:w="5121"/>
        <w:gridCol w:w="225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43"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输入类别</w:t>
            </w:r>
          </w:p>
        </w:tc>
        <w:tc>
          <w:tcPr>
            <w:tcW w:w="512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具体内容</w:t>
            </w:r>
          </w:p>
        </w:tc>
        <w:tc>
          <w:tcPr>
            <w:tcW w:w="2258"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内审结果</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内部审核报告、不符合项整改情况、内审中发现的问题</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外审结果</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外部审核报告及发现</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上次管评</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上次管理评审决议落实情况、改进效果验证</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客户反馈</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客户满意度调查报告、客户投诉及建议、客户需求变化</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过程绩效</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KPI达成情况分析、过程度量结果、SLA达成情况</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交付情况</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交付项目完成情况、交付质量报告、交付文档完整性</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应急情况</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应急演练总结、应急事件复盘报告、应急能力评估</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应急管理部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技术发展</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技术研发进展、工具应用情况、技术难题攻关成果</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资源状况</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服务知识</w:t>
            </w:r>
            <w:r>
              <w:rPr>
                <w:rFonts w:ascii="Segoe UI" w:eastAsia="Segoe UI" w:hAnsi="Segoe UI" w:cs="Segoe UI" w:hint="default"/>
                <w:i w:val="0"/>
                <w:iCs w:val="0"/>
                <w:caps w:val="0"/>
                <w:snapToGrid w:val="0"/>
                <w:color w:val="000000"/>
                <w:spacing w:val="0"/>
                <w:kern w:val="0"/>
                <w:sz w:val="22"/>
                <w:szCs w:val="22"/>
                <w:lang w:val="en-US" w:eastAsia="zh-CN"/>
              </w:rPr>
              <w:t>运行情况、备件库状况、采购供应情况、运维工具使用情况</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研发部、运维部、采购部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人员状况</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人员培训情况、技能水平、人员流动情况、人员储备情况</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改进情况</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上年度改进计划完成情况、改进效果评估、改进项跟踪记录</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变更情况</w:t>
            </w:r>
          </w:p>
        </w:tc>
        <w:tc>
          <w:tcPr>
            <w:tcW w:w="512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业务要求变化、法律法规变化、组织架构变化、合同责任变化</w:t>
            </w:r>
          </w:p>
        </w:tc>
        <w:tc>
          <w:tcPr>
            <w:tcW w:w="225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各部门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43"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合规性</w:t>
            </w:r>
          </w:p>
        </w:tc>
        <w:tc>
          <w:tcPr>
            <w:tcW w:w="512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法律法规遵守情况、行业标准符合性</w:t>
            </w:r>
          </w:p>
        </w:tc>
        <w:tc>
          <w:tcPr>
            <w:tcW w:w="2258"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3659"/>
      <w:bookmarkStart w:id="45" w:name="_Toc630"/>
      <w:r>
        <w:rPr>
          <w:rFonts w:hint="default"/>
          <w:lang w:val="en-US" w:eastAsia="zh-CN"/>
        </w:rPr>
        <w:t>评审会议</w:t>
      </w:r>
      <w:bookmarkEnd w:id="44"/>
      <w:bookmarkEnd w:id="4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6528"/>
      <w:bookmarkStart w:id="47" w:name="_Toc15474"/>
      <w:r>
        <w:rPr>
          <w:rFonts w:hint="default"/>
          <w:lang w:val="en-US" w:eastAsia="zh-CN"/>
        </w:rPr>
        <w:t>会议签到</w:t>
      </w:r>
      <w:bookmarkEnd w:id="46"/>
      <w:bookmarkEnd w:id="4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产品质量部负责组织各参会人员准时参加管理评审会议，与会人员在《管理评审会议签到表》上签到。签到表需记录参会人员姓名、部门、岗位。</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28592"/>
      <w:bookmarkStart w:id="49" w:name="_Toc22259"/>
      <w:r>
        <w:rPr>
          <w:rFonts w:hint="default"/>
          <w:lang w:val="en-US" w:eastAsia="zh-CN"/>
        </w:rPr>
        <w:t>专题报告</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产品质量部提交《运维服务体系运行情况报告》，对体系整体运行情况进行专题汇报，包括：</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体系运行总体评价</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六大能力域运行情况摘要</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KPI整体达成情况</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主要问题和改进建议</w:t>
      </w:r>
    </w:p>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各部门根据会议议程，分别汇报本部门相关能力域的运行情况，重点介绍目标达成情况、存在问题、改进建议和资源需求。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30143"/>
      <w:bookmarkStart w:id="51" w:name="_Toc17959"/>
      <w:r>
        <w:rPr>
          <w:rFonts w:hint="default"/>
          <w:lang w:val="en-US" w:eastAsia="zh-CN"/>
        </w:rPr>
        <w:t>讨论审议</w:t>
      </w:r>
      <w:bookmarkEnd w:id="50"/>
      <w:bookmarkEnd w:id="5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总经理主持管理评审会议，按会议议程逐项审议。全体与会人员围绕管理评审输入材料，讨论并评审体系的适宜性、充分性和有效性，对存在的问题进行分析，提出改进建议。</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重点审议内容：</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管理要求的达标情况</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各项KPI指标的达成情况</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客户满意度变化及改进需求</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资源配置的合理性</w:t>
      </w:r>
    </w:p>
    <w:p>
      <w:pPr>
        <w:pStyle w:val="a1"/>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风险和改进机会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30431"/>
      <w:bookmarkStart w:id="53" w:name="_Toc30430"/>
      <w:r>
        <w:rPr>
          <w:rFonts w:hint="default"/>
          <w:lang w:val="en-US" w:eastAsia="zh-CN"/>
        </w:rPr>
        <w:t>会议总结</w:t>
      </w:r>
      <w:bookmarkEnd w:id="52"/>
      <w:bookmarkEnd w:id="53"/>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总经理对管理评审作结论性评价，包括：</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对体系运行情况做出总体判断</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对存在的问题提出明确的改进要求</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对资源配置需求做出决策</w:t>
      </w:r>
    </w:p>
    <w:p>
      <w:pPr>
        <w:pStyle w:val="a1"/>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确定下一年度重点改进方向</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8620"/>
      <w:bookmarkStart w:id="55" w:name="_Toc19150"/>
      <w:r>
        <w:rPr>
          <w:rFonts w:hint="default"/>
          <w:lang w:val="en-US" w:eastAsia="zh-CN"/>
        </w:rPr>
        <w:t>会议记录</w:t>
      </w:r>
      <w:bookmarkEnd w:id="54"/>
      <w:bookmarkEnd w:id="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产品质量部指定专人负责管理评审会议记录，形成《管理评审会议记录》，记录内容包括：</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会议时间、地点、参会人员</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评审情况摘要</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讨论要点</w:t>
      </w:r>
    </w:p>
    <w:p>
      <w:pPr>
        <w:pStyle w:val="a1"/>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决议事项（含责任部门、完成时限）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691"/>
      <w:bookmarkStart w:id="57" w:name="_Toc21870"/>
      <w:r>
        <w:rPr>
          <w:rFonts w:hint="default"/>
          <w:lang w:val="en-US" w:eastAsia="zh-CN"/>
        </w:rPr>
        <w:t>评审输出</w:t>
      </w:r>
      <w:bookmarkEnd w:id="56"/>
      <w:bookmarkEnd w:id="5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14203"/>
      <w:bookmarkStart w:id="59" w:name="_Toc14391"/>
      <w:r>
        <w:rPr>
          <w:rFonts w:hint="default"/>
          <w:lang w:val="en-US" w:eastAsia="zh-CN"/>
        </w:rPr>
        <w:t>输出内容</w:t>
      </w:r>
      <w:bookmarkEnd w:id="58"/>
      <w:bookmarkEnd w:id="5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管理评审的输出应包括但不限于以下内容：</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管理体系适宜性、充分性和有效性的总体评价</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体系改进方向和重点</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具体改进决议事项（需可验证、有衡量标准）</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资源配置需求</w:t>
      </w:r>
    </w:p>
    <w:p>
      <w:pPr>
        <w:pStyle w:val="a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下一年度运维服务目标建议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1550"/>
      <w:bookmarkStart w:id="61" w:name="_Toc23806"/>
      <w:r>
        <w:rPr>
          <w:rFonts w:hint="default"/>
          <w:lang w:val="en-US" w:eastAsia="zh-CN"/>
        </w:rPr>
        <w:t>报告编制</w:t>
      </w:r>
      <w:bookmarkEnd w:id="60"/>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产品质量部根据《管理评审会议记录》编写《管理评审报告》，报告应包括以下内容：</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基本信息：评审目的、依据、范围、时间、参会人员</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评审输入摘要：各能力域运行情况、KPI达成情况、内审结果、客户满意度等</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评审结论：体系运行总体评价，各项管理要求达标情况</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主要发现：体系运行中的优势和存在问题</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改进决议：具体改进事项、责任部门、完成时限、验证方法</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资源配置：会议确定的资源投入决策</w:t>
      </w:r>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评审依据需明确列出：ITSS标准、公司相关制度、与客户签订的SLA协议、客户需求、适用的法律法规等。</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32401"/>
      <w:bookmarkStart w:id="63" w:name="_Toc32610"/>
      <w:r>
        <w:rPr>
          <w:rFonts w:hint="default"/>
          <w:lang w:val="en-US" w:eastAsia="zh-CN"/>
        </w:rPr>
        <w:t>报告审批</w:t>
      </w:r>
      <w:bookmarkEnd w:id="62"/>
      <w:bookmarkEnd w:id="63"/>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《管理评审报告》经产品质量部经理审核后，提交总经理批准。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4" w:name="_Toc2675"/>
      <w:bookmarkStart w:id="65" w:name="_Toc23181"/>
      <w:r>
        <w:rPr>
          <w:rFonts w:hint="default"/>
          <w:lang w:val="en-US" w:eastAsia="zh-CN"/>
        </w:rPr>
        <w:t>报告发放</w:t>
      </w:r>
      <w:bookmarkEnd w:id="64"/>
      <w:bookmarkEnd w:id="65"/>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经总经理批准的《管理评审报告》由产品质量部发放至各相关部门，并归档保存。</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6" w:name="_Toc24626"/>
      <w:bookmarkStart w:id="67" w:name="_Toc25735"/>
      <w:r>
        <w:rPr>
          <w:rFonts w:hint="default"/>
          <w:lang w:val="en-US" w:eastAsia="zh-CN"/>
        </w:rPr>
        <w:t>不符合项改进和验证</w:t>
      </w:r>
      <w:bookmarkEnd w:id="66"/>
      <w:bookmarkEnd w:id="6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0790"/>
      <w:bookmarkStart w:id="69" w:name="_Toc24925"/>
      <w:r>
        <w:rPr>
          <w:rFonts w:hint="default"/>
          <w:lang w:val="en-US" w:eastAsia="zh-CN"/>
        </w:rPr>
        <w:t>改进计划制定</w:t>
      </w:r>
      <w:bookmarkEnd w:id="68"/>
      <w:bookmarkEnd w:id="6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管理评审决议中涉及的改进事项，由责任部门负责人组织制定整改计划，填写《管理评审整改计划表》，明确：</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改进事项描述</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改进措施和具体步骤</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责任人</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计划完成时间</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预期效果（可验证的衡量标准）</w:t>
      </w:r>
    </w:p>
    <w:p>
      <w:pPr>
        <w:pStyle w:val="a1"/>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整改计划报产品质量部备案。</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0" w:name="_Toc19476"/>
      <w:bookmarkStart w:id="71" w:name="_Toc4864"/>
      <w:r>
        <w:rPr>
          <w:rFonts w:hint="default"/>
          <w:lang w:val="en-US" w:eastAsia="zh-CN"/>
        </w:rPr>
        <w:t>改进实施</w:t>
      </w:r>
      <w:bookmarkEnd w:id="70"/>
      <w:bookmarkEnd w:id="7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责任部门按照整改计划组织实施改进工作，将改进任务纳入部门日常工作。对实施周期超过1个月的改进项，应每月向产品质量部反馈改进进展。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2" w:name="_Toc23636"/>
      <w:bookmarkStart w:id="73" w:name="_Toc17320"/>
      <w:r>
        <w:rPr>
          <w:rFonts w:hint="default"/>
          <w:lang w:val="en-US" w:eastAsia="zh-CN"/>
        </w:rPr>
        <w:t>跟踪监督</w:t>
      </w:r>
      <w:bookmarkEnd w:id="72"/>
      <w:bookmarkEnd w:id="7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产品质量部负责对改进实施情况进行跟踪和监督，定期了解改进进展，记录在《管理评审整改跟踪记录》中。对进度滞后的及时提醒，必要时上报管理层协调。</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4" w:name="_Toc8591"/>
      <w:bookmarkStart w:id="75" w:name="_Toc28310"/>
      <w:r>
        <w:rPr>
          <w:rFonts w:hint="default"/>
          <w:lang w:val="en-US" w:eastAsia="zh-CN"/>
        </w:rPr>
        <w:t>效果验证</w:t>
      </w:r>
      <w:bookmarkEnd w:id="74"/>
      <w:bookmarkEnd w:id="75"/>
    </w:p>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改进完成后，责任部门向产品质量部提交验证申请。产品质量部组织相关人员对改进效果进行验证，确认：</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是否按计划完成</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是否达到预期目标（可验证的衡量标准）</w:t>
      </w:r>
    </w:p>
    <w:p>
      <w:pPr>
        <w:pStyle w:val="a1"/>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是否有新的问题产生</w:t>
      </w:r>
    </w:p>
    <w:p>
      <w:pPr>
        <w:pStyle w:val="a1"/>
        <w:bidi w:val="0"/>
        <w:rPr>
          <w:rFonts w:hint="default"/>
          <w:lang w:val="en-US" w:eastAsia="zh-CN"/>
        </w:rPr>
      </w:pPr>
      <w:r>
        <w:rPr>
          <w:rFonts w:hint="default"/>
          <w:lang w:val="en-US" w:eastAsia="zh-CN"/>
        </w:rPr>
        <w:t>验证通过后，在《管理评审报告》中予以关闭，并在《管理评审整改跟踪记录》中标记为“已完成”。验证未通过的，返回责任部门继续整改。</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6" w:name="_Toc31341"/>
      <w:bookmarkStart w:id="77" w:name="_Toc6718"/>
      <w:r>
        <w:rPr>
          <w:rFonts w:hint="default"/>
          <w:lang w:val="en-US" w:eastAsia="zh-CN"/>
        </w:rPr>
        <w:t>记录归档</w:t>
      </w:r>
      <w:bookmarkEnd w:id="76"/>
      <w:bookmarkEnd w:id="7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产品质量部将管理评审相关的所有资料、文件及记录按照公司要求归档和保管，包括：</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管理评审计划</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管理评审输入材料汇编</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管理评审会议签到表</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管理评审会议记录</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管理评审报告</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管理评审整改计划表</w:t>
      </w:r>
    </w:p>
    <w:p>
      <w:pPr>
        <w:pStyle w:val="a1"/>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管理评审整改跟踪记录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4498"/>
      <w:bookmarkStart w:id="79" w:name="_Toc11676"/>
      <w:bookmarkStart w:id="80" w:name="_Toc996"/>
      <w:r>
        <w:rPr>
          <w:rFonts w:hint="eastAsia"/>
          <w:lang w:val="en-US" w:eastAsia="zh-CN"/>
        </w:rPr>
        <w:t>KPI指标</w:t>
      </w:r>
      <w:bookmarkEnd w:id="78"/>
      <w:bookmarkEnd w:id="79"/>
      <w:bookmarkEnd w:id="8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管评管理指标如表5-1所示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1" w:name="_Toc18805"/>
      <w:r>
        <w:rPr>
          <w:rFonts w:hint="eastAsia"/>
          <w:lang w:val="en-US" w:eastAsia="zh-CN"/>
        </w:rPr>
        <w:t xml:space="preserve"> KPI指标表</w:t>
      </w:r>
      <w:bookmarkEnd w:id="81"/>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773"/>
        <w:gridCol w:w="3562"/>
        <w:gridCol w:w="1413"/>
        <w:gridCol w:w="177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773" w:type="dxa"/>
            <w:tcBorders>
              <w:top w:val="single" w:sz="12" w:space="0" w:color="auto"/>
              <w:left w:val="single" w:sz="12" w:space="0" w:color="auto"/>
              <w:bottom w:val="nil"/>
              <w:right w:val="nil"/>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指标名称</w:t>
            </w:r>
          </w:p>
        </w:tc>
        <w:tc>
          <w:tcPr>
            <w:tcW w:w="3562"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指标计算方式</w:t>
            </w:r>
          </w:p>
        </w:tc>
        <w:tc>
          <w:tcPr>
            <w:tcW w:w="1413"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目标值</w:t>
            </w:r>
          </w:p>
        </w:tc>
        <w:tc>
          <w:tcPr>
            <w:tcW w:w="1774"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b/>
                <w:vertAlign w:val="baseline"/>
                <w:lang w:val="en-US" w:eastAsia="zh-CN"/>
              </w:rPr>
            </w:pPr>
            <w:r>
              <w:rPr>
                <w:rFonts w:hint="eastAsia"/>
                <w:b/>
                <w:vertAlign w:val="baseline"/>
                <w:lang w:val="en-US" w:eastAsia="zh-CN"/>
              </w:rPr>
              <w:t>考核频次</w:t>
            </w:r>
          </w:p>
        </w:tc>
      </w:tr>
      <w:tr>
        <w:tblPrEx>
          <w:tblW w:w="8522" w:type="dxa"/>
          <w:jc w:val="center"/>
          <w:tblCellMar>
            <w:top w:w="0" w:type="dxa"/>
            <w:left w:w="108" w:type="dxa"/>
            <w:bottom w:w="0" w:type="dxa"/>
            <w:right w:w="108" w:type="dxa"/>
          </w:tblCellMar>
        </w:tblPrEx>
        <w:trPr>
          <w:trHeight w:val="0"/>
          <w:jc w:val="center"/>
        </w:trPr>
        <w:tc>
          <w:tcPr>
            <w:tcW w:w="1773"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管评次数</w:t>
            </w:r>
          </w:p>
        </w:tc>
        <w:tc>
          <w:tcPr>
            <w:tcW w:w="3562"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报告，管评报告数量</w:t>
            </w:r>
          </w:p>
        </w:tc>
        <w:tc>
          <w:tcPr>
            <w:tcW w:w="1413"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w:t>
            </w:r>
            <w:bookmarkStart w:id="82" w:name="_GoBack"/>
            <w:bookmarkEnd w:id="82"/>
            <w:r>
              <w:rPr>
                <w:rFonts w:hint="eastAsia"/>
                <w:vertAlign w:val="baseline"/>
                <w:lang w:val="en-US" w:eastAsia="zh-CN"/>
              </w:rPr>
              <w:t>1次</w:t>
            </w:r>
          </w:p>
        </w:tc>
        <w:tc>
          <w:tcPr>
            <w:tcW w:w="1774"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vertAlign w:val="baseline"/>
                <w:lang w:val="en-US" w:eastAsia="zh-CN"/>
              </w:rPr>
            </w:pPr>
            <w:r>
              <w:rPr>
                <w:rFonts w:hint="eastAsia"/>
                <w:vertAlign w:val="baseline"/>
                <w:lang w:val="en-US" w:eastAsia="zh-CN"/>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3" w:name="_Toc7536"/>
      <w:bookmarkStart w:id="84" w:name="_Toc21652"/>
      <w:r>
        <w:rPr>
          <w:rFonts w:hint="default"/>
          <w:lang w:val="en-US" w:eastAsia="zh-CN"/>
        </w:rPr>
        <w:t>输出的文件和记录</w:t>
      </w:r>
      <w:bookmarkEnd w:id="83"/>
      <w:bookmarkEnd w:id="8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5" w:name="_Toc8805"/>
      <w:r>
        <w:rPr>
          <w:rFonts w:hint="eastAsia"/>
          <w:lang w:val="en-US" w:eastAsia="zh-CN"/>
        </w:rPr>
        <w:t xml:space="preserve"> 输出文件和记录表</w:t>
      </w:r>
      <w:bookmarkEnd w:id="8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686"/>
        <w:gridCol w:w="1918"/>
        <w:gridCol w:w="191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68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191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c>
          <w:tcPr>
            <w:tcW w:w="1918"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保存期限</w:t>
            </w:r>
          </w:p>
        </w:tc>
      </w:tr>
      <w:tr>
        <w:tblPrEx>
          <w:tblW w:w="8522" w:type="dxa"/>
          <w:jc w:val="center"/>
          <w:shd w:val="clear" w:color="auto" w:fill="auto"/>
          <w:tblCellMar>
            <w:top w:w="15" w:type="dxa"/>
            <w:left w:w="15" w:type="dxa"/>
            <w:bottom w:w="15" w:type="dxa"/>
            <w:right w:w="15" w:type="dxa"/>
          </w:tblCellMar>
        </w:tblPrEx>
        <w:trPr>
          <w:trHeight w:val="0"/>
          <w:jc w:val="center"/>
        </w:trPr>
        <w:tc>
          <w:tcPr>
            <w:tcW w:w="46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《管理评审计划》</w:t>
            </w:r>
          </w:p>
        </w:tc>
        <w:tc>
          <w:tcPr>
            <w:tcW w:w="191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91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6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《管理评审会议签到表》</w:t>
            </w:r>
          </w:p>
        </w:tc>
        <w:tc>
          <w:tcPr>
            <w:tcW w:w="191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91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6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《管理评审报告》</w:t>
            </w:r>
          </w:p>
        </w:tc>
        <w:tc>
          <w:tcPr>
            <w:tcW w:w="191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91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长期</w:t>
            </w:r>
          </w:p>
        </w:tc>
      </w:tr>
      <w:tr>
        <w:tblPrEx>
          <w:tblW w:w="8522" w:type="dxa"/>
          <w:jc w:val="center"/>
          <w:shd w:val="clear" w:color="auto" w:fill="auto"/>
          <w:tblCellMar>
            <w:top w:w="15" w:type="dxa"/>
            <w:left w:w="15" w:type="dxa"/>
            <w:bottom w:w="15" w:type="dxa"/>
            <w:right w:w="15" w:type="dxa"/>
          </w:tblCellMar>
        </w:tblPrEx>
        <w:trPr>
          <w:trHeight w:val="0"/>
          <w:jc w:val="center"/>
        </w:trPr>
        <w:tc>
          <w:tcPr>
            <w:tcW w:w="46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《管理评审整改计划表》</w:t>
            </w:r>
          </w:p>
        </w:tc>
        <w:tc>
          <w:tcPr>
            <w:tcW w:w="191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91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68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《管理评审整改跟踪记录》</w:t>
            </w:r>
          </w:p>
        </w:tc>
        <w:tc>
          <w:tcPr>
            <w:tcW w:w="191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91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68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《运维服务体系运行情况报告》</w:t>
            </w:r>
          </w:p>
        </w:tc>
        <w:tc>
          <w:tcPr>
            <w:tcW w:w="191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918"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bl>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5EADC18"/>
    <w:multiLevelType w:val="singleLevel"/>
    <w:tmpl w:val="85EADC18"/>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A8D51297"/>
    <w:multiLevelType w:val="singleLevel"/>
    <w:tmpl w:val="A8D51297"/>
    <w:lvl w:ilvl="0">
      <w:start w:val="1"/>
      <w:numFmt w:val="decimal"/>
      <w:lvlText w:val="%1."/>
      <w:lvlJc w:val="left"/>
      <w:pPr>
        <w:ind w:left="425" w:hanging="425"/>
      </w:pPr>
      <w:rPr>
        <w:rFonts w:hint="default"/>
      </w:rPr>
    </w:lvl>
  </w:abstractNum>
  <w:abstractNum w:abstractNumId="3">
    <w:nsid w:val="B6C17E97"/>
    <w:multiLevelType w:val="singleLevel"/>
    <w:tmpl w:val="B6C17E97"/>
    <w:lvl w:ilvl="0">
      <w:start w:val="1"/>
      <w:numFmt w:val="decimal"/>
      <w:lvlText w:val="%1."/>
      <w:lvlJc w:val="left"/>
      <w:pPr>
        <w:ind w:left="425" w:hanging="425"/>
      </w:pPr>
      <w:rPr>
        <w:rFonts w:hint="default"/>
      </w:rPr>
    </w:lvl>
  </w:abstractNum>
  <w:abstractNum w:abstractNumId="4">
    <w:nsid w:val="C64DA126"/>
    <w:multiLevelType w:val="singleLevel"/>
    <w:tmpl w:val="C64DA126"/>
    <w:lvl w:ilvl="0">
      <w:start w:val="1"/>
      <w:numFmt w:val="decimal"/>
      <w:lvlText w:val="%1."/>
      <w:lvlJc w:val="left"/>
      <w:pPr>
        <w:ind w:left="425" w:hanging="425"/>
      </w:pPr>
      <w:rPr>
        <w:rFonts w:hint="default"/>
      </w:rPr>
    </w:lvl>
  </w:abstractNum>
  <w:abstractNum w:abstractNumId="5">
    <w:nsid w:val="F043A527"/>
    <w:multiLevelType w:val="singleLevel"/>
    <w:tmpl w:val="F043A527"/>
    <w:lvl w:ilvl="0">
      <w:start w:val="1"/>
      <w:numFmt w:val="decimal"/>
      <w:lvlText w:val="%1."/>
      <w:lvlJc w:val="left"/>
      <w:pPr>
        <w:ind w:left="425" w:hanging="425"/>
      </w:pPr>
      <w:rPr>
        <w:rFonts w:hint="default"/>
      </w:rPr>
    </w:lvl>
  </w:abstractNum>
  <w:abstractNum w:abstractNumId="6">
    <w:nsid w:val="FA0B3DC0"/>
    <w:multiLevelType w:val="singleLevel"/>
    <w:tmpl w:val="FA0B3DC0"/>
    <w:lvl w:ilvl="0">
      <w:start w:val="1"/>
      <w:numFmt w:val="decimal"/>
      <w:lvlText w:val="%1."/>
      <w:lvlJc w:val="left"/>
      <w:pPr>
        <w:ind w:left="425" w:hanging="425"/>
      </w:pPr>
      <w:rPr>
        <w:rFonts w:hint="default"/>
      </w:rPr>
    </w:lvl>
  </w:abstractNum>
  <w:abstractNum w:abstractNumId="7">
    <w:nsid w:val="FE56C903"/>
    <w:multiLevelType w:val="singleLevel"/>
    <w:tmpl w:val="FE56C903"/>
    <w:lvl w:ilvl="0">
      <w:start w:val="1"/>
      <w:numFmt w:val="decimal"/>
      <w:lvlText w:val="%1."/>
      <w:lvlJc w:val="left"/>
      <w:pPr>
        <w:ind w:left="425" w:hanging="425"/>
      </w:pPr>
      <w:rPr>
        <w:rFonts w:hint="default"/>
      </w:rPr>
    </w:lvl>
  </w:abstractNum>
  <w:abstractNum w:abstractNumId="8">
    <w:nsid w:val="0879B3DF"/>
    <w:multiLevelType w:val="singleLevel"/>
    <w:tmpl w:val="0879B3DF"/>
    <w:lvl w:ilvl="0">
      <w:start w:val="1"/>
      <w:numFmt w:val="decimal"/>
      <w:lvlText w:val="%1."/>
      <w:lvlJc w:val="left"/>
      <w:pPr>
        <w:ind w:left="425" w:hanging="425"/>
      </w:pPr>
      <w:rPr>
        <w:rFonts w:hint="default"/>
      </w:rPr>
    </w:lvl>
  </w:abstractNum>
  <w:abstractNum w:abstractNumId="9">
    <w:nsid w:val="12A29FA8"/>
    <w:multiLevelType w:val="singleLevel"/>
    <w:tmpl w:val="12A29FA8"/>
    <w:lvl w:ilvl="0">
      <w:start w:val="1"/>
      <w:numFmt w:val="decimal"/>
      <w:lvlText w:val="%1."/>
      <w:lvlJc w:val="left"/>
      <w:pPr>
        <w:ind w:left="425" w:hanging="425"/>
      </w:pPr>
      <w:rPr>
        <w:rFonts w:hint="default"/>
      </w:rPr>
    </w:lvl>
  </w:abstractNum>
  <w:abstractNum w:abstractNumId="10">
    <w:nsid w:val="17977974"/>
    <w:multiLevelType w:val="singleLevel"/>
    <w:tmpl w:val="17977974"/>
    <w:lvl w:ilvl="0">
      <w:start w:val="1"/>
      <w:numFmt w:val="decimal"/>
      <w:lvlText w:val="%1."/>
      <w:lvlJc w:val="left"/>
      <w:pPr>
        <w:ind w:left="425" w:hanging="425"/>
      </w:pPr>
      <w:rPr>
        <w:rFonts w:hint="default"/>
      </w:rPr>
    </w:lvl>
  </w:abstractNum>
  <w:abstractNum w:abstractNumId="11">
    <w:nsid w:val="1C7983A6"/>
    <w:multiLevelType w:val="singleLevel"/>
    <w:tmpl w:val="1C7983A6"/>
    <w:lvl w:ilvl="0">
      <w:start w:val="1"/>
      <w:numFmt w:val="decimal"/>
      <w:lvlText w:val="%1."/>
      <w:lvlJc w:val="left"/>
      <w:pPr>
        <w:ind w:left="425" w:hanging="425"/>
      </w:pPr>
      <w:rPr>
        <w:rFonts w:hint="default"/>
      </w:rPr>
    </w:lvl>
  </w:abstractNum>
  <w:abstractNum w:abstractNumId="12">
    <w:nsid w:val="3C1DE729"/>
    <w:multiLevelType w:val="singleLevel"/>
    <w:tmpl w:val="3C1DE729"/>
    <w:lvl w:ilvl="0">
      <w:start w:val="1"/>
      <w:numFmt w:val="decimal"/>
      <w:lvlText w:val="%1."/>
      <w:lvlJc w:val="left"/>
      <w:pPr>
        <w:ind w:left="425" w:hanging="425"/>
      </w:pPr>
      <w:rPr>
        <w:rFonts w:hint="default"/>
      </w:rPr>
    </w:lvl>
  </w:abstractNum>
  <w:abstractNum w:abstractNumId="13">
    <w:nsid w:val="41997C0F"/>
    <w:multiLevelType w:val="singleLevel"/>
    <w:tmpl w:val="41997C0F"/>
    <w:lvl w:ilvl="0">
      <w:start w:val="1"/>
      <w:numFmt w:val="decimal"/>
      <w:lvlText w:val="%1."/>
      <w:lvlJc w:val="left"/>
      <w:pPr>
        <w:ind w:left="425" w:hanging="425"/>
      </w:pPr>
      <w:rPr>
        <w:rFonts w:hint="default"/>
      </w:rPr>
    </w:lvl>
  </w:abstractNum>
  <w:abstractNum w:abstractNumId="14">
    <w:nsid w:val="534F9EA8"/>
    <w:multiLevelType w:val="singleLevel"/>
    <w:tmpl w:val="534F9EA8"/>
    <w:lvl w:ilvl="0">
      <w:start w:val="1"/>
      <w:numFmt w:val="decimal"/>
      <w:lvlText w:val="%1."/>
      <w:lvlJc w:val="left"/>
      <w:pPr>
        <w:ind w:left="425" w:hanging="425"/>
      </w:pPr>
      <w:rPr>
        <w:rFonts w:hint="default"/>
      </w:rPr>
    </w:lvl>
  </w:abstractNum>
  <w:abstractNum w:abstractNumId="15">
    <w:nsid w:val="573964D6"/>
    <w:multiLevelType w:val="singleLevel"/>
    <w:tmpl w:val="573964D6"/>
    <w:lvl w:ilvl="0">
      <w:start w:val="1"/>
      <w:numFmt w:val="decimal"/>
      <w:lvlText w:val="%1."/>
      <w:lvlJc w:val="left"/>
      <w:pPr>
        <w:ind w:left="425" w:hanging="425"/>
      </w:pPr>
      <w:rPr>
        <w:rFonts w:hint="default"/>
      </w:rPr>
    </w:lvl>
  </w:abstractNum>
  <w:abstractNum w:abstractNumId="16">
    <w:nsid w:val="586185BD"/>
    <w:multiLevelType w:val="singleLevel"/>
    <w:tmpl w:val="586185BD"/>
    <w:lvl w:ilvl="0">
      <w:start w:val="1"/>
      <w:numFmt w:val="decimal"/>
      <w:lvlText w:val="%1."/>
      <w:lvlJc w:val="left"/>
      <w:pPr>
        <w:ind w:left="425" w:hanging="425"/>
      </w:pPr>
      <w:rPr>
        <w:rFonts w:hint="default"/>
      </w:rPr>
    </w:lvl>
  </w:abstractNum>
  <w:abstractNum w:abstractNumId="17">
    <w:nsid w:val="7C01C7DA"/>
    <w:multiLevelType w:val="singleLevel"/>
    <w:tmpl w:val="7C01C7DA"/>
    <w:lvl w:ilvl="0">
      <w:start w:val="1"/>
      <w:numFmt w:val="decimal"/>
      <w:lvlText w:val="(%1)"/>
      <w:lvlJc w:val="left"/>
      <w:pPr>
        <w:tabs>
          <w:tab w:val="left" w:pos="420"/>
        </w:tabs>
        <w:ind w:left="845" w:hanging="425"/>
      </w:pPr>
      <w:rPr>
        <w:rFonts w:hint="default"/>
      </w:rPr>
    </w:lvl>
  </w:abstractNum>
  <w:num w:numId="1">
    <w:abstractNumId w:val="1"/>
  </w:num>
  <w:num w:numId="2">
    <w:abstractNumId w:val="11"/>
  </w:num>
  <w:num w:numId="3">
    <w:abstractNumId w:val="2"/>
  </w:num>
  <w:num w:numId="4">
    <w:abstractNumId w:val="13"/>
  </w:num>
  <w:num w:numId="5">
    <w:abstractNumId w:val="12"/>
  </w:num>
  <w:num w:numId="6">
    <w:abstractNumId w:val="9"/>
  </w:num>
  <w:num w:numId="7">
    <w:abstractNumId w:val="14"/>
  </w:num>
  <w:num w:numId="8">
    <w:abstractNumId w:val="17"/>
  </w:num>
  <w:num w:numId="9">
    <w:abstractNumId w:val="15"/>
  </w:num>
  <w:num w:numId="10">
    <w:abstractNumId w:val="3"/>
  </w:num>
  <w:num w:numId="11">
    <w:abstractNumId w:val="0"/>
  </w:num>
  <w:num w:numId="12">
    <w:abstractNumId w:val="10"/>
  </w:num>
  <w:num w:numId="13">
    <w:abstractNumId w:val="4"/>
  </w:num>
  <w:num w:numId="14">
    <w:abstractNumId w:val="16"/>
  </w:num>
  <w:num w:numId="15">
    <w:abstractNumId w:val="6"/>
  </w:num>
  <w:num w:numId="16">
    <w:abstractNumId w:val="8"/>
  </w:num>
  <w:num w:numId="17">
    <w:abstractNumId w:val="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8</TotalTime>
  <Pages>15</Pages>
  <Words>4571</Words>
  <Characters>4844</Characters>
  <Application>Microsoft Office Word</Application>
  <DocSecurity>0</DocSecurity>
  <Lines>0</Lines>
  <Paragraphs>0</Paragraphs>
  <ScaleCrop>false</ScaleCrop>
  <Company/>
  <LinksUpToDate>false</LinksUpToDate>
  <CharactersWithSpaces>5354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2026-04-08T04:05:17Z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