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3283D">
      <w:pPr>
        <w:spacing w:before="173" w:line="218" w:lineRule="auto"/>
        <w:ind w:left="3669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不符合项报告</w:t>
      </w:r>
    </w:p>
    <w:p w14:paraId="5F462A77">
      <w:pPr>
        <w:spacing w:line="105" w:lineRule="exact"/>
      </w:pPr>
    </w:p>
    <w:tbl>
      <w:tblPr>
        <w:tblStyle w:val="24"/>
        <w:tblW w:w="90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 w14:paraId="60B14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2058" w:type="dxa"/>
            <w:gridSpan w:val="3"/>
          </w:tcPr>
          <w:p w14:paraId="760426B2">
            <w:pPr>
              <w:pStyle w:val="25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 w14:paraId="088E3B50">
            <w:pPr>
              <w:pStyle w:val="25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 w14:paraId="57A0CEE8">
            <w:pPr>
              <w:pStyle w:val="25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 w14:paraId="0584D63B">
            <w:pPr>
              <w:pStyle w:val="25"/>
              <w:spacing w:before="124" w:line="225" w:lineRule="auto"/>
              <w:ind w:left="525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6D0DF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2058" w:type="dxa"/>
            <w:gridSpan w:val="3"/>
          </w:tcPr>
          <w:p w14:paraId="5A5020EA">
            <w:pPr>
              <w:pStyle w:val="25"/>
              <w:spacing w:before="203" w:line="220" w:lineRule="auto"/>
              <w:ind w:left="621"/>
            </w:pPr>
            <w:r>
              <w:rPr>
                <w:spacing w:val="-4"/>
              </w:rPr>
              <w:t>审核员</w:t>
            </w:r>
          </w:p>
        </w:tc>
        <w:tc>
          <w:tcPr>
            <w:tcW w:w="3157" w:type="dxa"/>
            <w:gridSpan w:val="2"/>
            <w:vAlign w:val="center"/>
          </w:tcPr>
          <w:p w14:paraId="17A8B051">
            <w:pPr>
              <w:pStyle w:val="25"/>
              <w:spacing w:before="63" w:line="274" w:lineRule="auto"/>
              <w:ind w:right="214"/>
              <w:jc w:val="center"/>
            </w:pPr>
            <w:r>
              <w:t>熊振翔</w:t>
            </w:r>
          </w:p>
        </w:tc>
        <w:tc>
          <w:tcPr>
            <w:tcW w:w="1892" w:type="dxa"/>
            <w:gridSpan w:val="3"/>
          </w:tcPr>
          <w:p w14:paraId="11C8F5AC">
            <w:pPr>
              <w:pStyle w:val="25"/>
              <w:spacing w:before="203" w:line="221" w:lineRule="auto"/>
              <w:ind w:left="862"/>
            </w:pPr>
            <w:r>
              <w:rPr>
                <w:spacing w:val="-3"/>
              </w:rPr>
              <w:t>备注</w:t>
            </w:r>
          </w:p>
        </w:tc>
        <w:tc>
          <w:tcPr>
            <w:tcW w:w="1988" w:type="dxa"/>
            <w:vAlign w:val="center"/>
          </w:tcPr>
          <w:p w14:paraId="1D7C27C0">
            <w:pPr>
              <w:ind w:firstLine="1050" w:firstLineChars="500"/>
              <w:rPr>
                <w:rFonts w:hint="default" w:ascii="Arial" w:eastAsia="宋体"/>
                <w:sz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21"/>
                <w:lang w:val="en-US" w:eastAsia="zh-CN"/>
              </w:rPr>
              <w:t>/</w:t>
            </w:r>
          </w:p>
        </w:tc>
      </w:tr>
      <w:tr w14:paraId="3B7B0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  <w:jc w:val="center"/>
        </w:trPr>
        <w:tc>
          <w:tcPr>
            <w:tcW w:w="9095" w:type="dxa"/>
            <w:gridSpan w:val="9"/>
          </w:tcPr>
          <w:p w14:paraId="65AC62C9">
            <w:r>
              <w:t>不符合事实陈述：</w:t>
            </w:r>
          </w:p>
          <w:p w14:paraId="5371EBB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2025年12月16日审核运维部时，访谈运维部经理姚耿桂，并查阅2025年度运维工具管理记录，未能提供《运维工具自评估报告》或类似的效果评价记录，不符合TCESA1299-2023 7.6.1 c)条款要求要求。</w:t>
            </w:r>
          </w:p>
          <w:p w14:paraId="21385625">
            <w:pPr>
              <w:rPr>
                <w:rFonts w:hint="eastAsia" w:eastAsia="宋体"/>
                <w:lang w:val="en-US" w:eastAsia="zh-CN"/>
              </w:rPr>
            </w:pPr>
            <w:r>
              <w:t>审核员：熊振翔</w:t>
            </w:r>
          </w:p>
          <w:p w14:paraId="1A8822DB">
            <w:r>
              <w:t>责任人确认：</w:t>
            </w:r>
            <w:r>
              <w:rPr>
                <w:rFonts w:hint="eastAsia"/>
                <w:lang w:val="en-US" w:eastAsia="zh-CN"/>
              </w:rPr>
              <w:t>姚耿桂</w:t>
            </w:r>
          </w:p>
        </w:tc>
      </w:tr>
      <w:tr w14:paraId="0070C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  <w:jc w:val="center"/>
        </w:trPr>
        <w:tc>
          <w:tcPr>
            <w:tcW w:w="1461" w:type="dxa"/>
            <w:gridSpan w:val="2"/>
          </w:tcPr>
          <w:p w14:paraId="7EA386A8">
            <w:pPr>
              <w:pStyle w:val="25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 w14:paraId="7D7AD957">
            <w:pPr>
              <w:bidi w:val="0"/>
            </w:pPr>
            <w:r>
              <w:rPr>
                <w:rFonts w:hint="eastAsia"/>
                <w:lang w:val="en-US" w:eastAsia="zh-CN"/>
              </w:rPr>
              <w:t>不符合TCESA1299-2023《信息技术服务 运行维护服务能力成熟度模型》标准 7.6.1 运维工具要求。</w:t>
            </w:r>
          </w:p>
        </w:tc>
      </w:tr>
      <w:tr w14:paraId="6E365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1461" w:type="dxa"/>
            <w:gridSpan w:val="2"/>
          </w:tcPr>
          <w:p w14:paraId="66C77BE1">
            <w:pPr>
              <w:pStyle w:val="25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 w14:paraId="4FA85ACA">
            <w:pPr>
              <w:pStyle w:val="25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 w14:paraId="592D4A84">
            <w:pPr>
              <w:pStyle w:val="25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 w14:paraId="2FAB401B">
            <w:pPr>
              <w:pStyle w:val="25"/>
              <w:spacing w:before="136" w:line="225" w:lineRule="auto"/>
              <w:ind w:left="820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 w14:paraId="54978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  <w:jc w:val="center"/>
        </w:trPr>
        <w:tc>
          <w:tcPr>
            <w:tcW w:w="9095" w:type="dxa"/>
            <w:gridSpan w:val="9"/>
          </w:tcPr>
          <w:p w14:paraId="39E86BC3">
            <w:pPr>
              <w:bidi w:val="0"/>
            </w:pPr>
            <w:r>
              <w:t>对不符合的处置：</w:t>
            </w:r>
          </w:p>
          <w:p w14:paraId="6E2A78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编制《运维工具自评估报告》模板，明确评估内容、评估周期、责任人及输出要求；</w:t>
            </w:r>
          </w:p>
          <w:p w14:paraId="3FFB13E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完成2025年度运维工具使用效果自评估，形成《运维工具自评估报告》；</w:t>
            </w:r>
          </w:p>
          <w:p w14:paraId="45E5AA0E">
            <w:pPr>
              <w:bidi w:val="0"/>
            </w:pPr>
            <w:r>
              <w:rPr>
                <w:rFonts w:hint="eastAsia"/>
              </w:rPr>
              <w:t>将评估报告提交</w:t>
            </w:r>
            <w:r>
              <w:rPr>
                <w:rFonts w:hint="eastAsia"/>
                <w:lang w:val="en-US" w:eastAsia="zh-CN"/>
              </w:rPr>
              <w:t>运维部</w:t>
            </w:r>
            <w:r>
              <w:rPr>
                <w:rFonts w:hint="eastAsia"/>
              </w:rPr>
              <w:t>经理审核确认后，归档备查。</w:t>
            </w:r>
          </w:p>
          <w:p w14:paraId="72CDDACE">
            <w:pPr>
              <w:bidi w:val="0"/>
            </w:pPr>
            <w:r>
              <w:t>部门承诺完成时间：2025年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t xml:space="preserve">日        责任人确认： </w:t>
            </w:r>
            <w:r>
              <w:rPr>
                <w:rFonts w:hint="eastAsia"/>
                <w:lang w:val="en-US" w:eastAsia="zh-CN"/>
              </w:rPr>
              <w:t>姚耿桂</w:t>
            </w:r>
          </w:p>
        </w:tc>
      </w:tr>
      <w:tr w14:paraId="3B0FC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  <w:jc w:val="center"/>
        </w:trPr>
        <w:tc>
          <w:tcPr>
            <w:tcW w:w="9095" w:type="dxa"/>
            <w:gridSpan w:val="9"/>
          </w:tcPr>
          <w:p w14:paraId="51D9977C">
            <w:pPr>
              <w:pStyle w:val="25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 w14:paraId="1799A065">
            <w:pPr>
              <w:pStyle w:val="25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7D6E0E9A">
            <w:pPr>
              <w:pStyle w:val="25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51AA6D9C">
            <w:pPr>
              <w:pStyle w:val="25"/>
              <w:spacing w:before="62" w:line="219" w:lineRule="auto"/>
              <w:ind w:left="111"/>
            </w:pPr>
          </w:p>
        </w:tc>
      </w:tr>
      <w:tr w14:paraId="01389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 w:hRule="atLeast"/>
          <w:jc w:val="center"/>
        </w:trPr>
        <w:tc>
          <w:tcPr>
            <w:tcW w:w="9095" w:type="dxa"/>
            <w:gridSpan w:val="9"/>
          </w:tcPr>
          <w:p w14:paraId="671543C3">
            <w:pPr>
              <w:pStyle w:val="25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 w14:paraId="0D6B65B2">
            <w:pPr>
              <w:pStyle w:val="25"/>
              <w:spacing w:before="202" w:line="226" w:lineRule="auto"/>
              <w:ind w:left="324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修订《运维服务</w:t>
            </w:r>
            <w:r>
              <w:rPr>
                <w:rFonts w:hint="eastAsia" w:ascii="Arial"/>
                <w:sz w:val="21"/>
                <w:lang w:val="en-US" w:eastAsia="zh-CN"/>
              </w:rPr>
              <w:t>工具</w:t>
            </w:r>
            <w:r>
              <w:rPr>
                <w:rFonts w:hint="eastAsia" w:ascii="Arial"/>
                <w:sz w:val="21"/>
              </w:rPr>
              <w:t>管理制度》，明确运维工具效果评估的频次、内容和责任人；</w:t>
            </w:r>
          </w:p>
          <w:p w14:paraId="3BF08397">
            <w:pPr>
              <w:pStyle w:val="25"/>
              <w:spacing w:before="202" w:line="226" w:lineRule="auto"/>
              <w:ind w:left="324"/>
              <w:rPr>
                <w:rFonts w:hint="eastAsia" w:ascii="Arial"/>
                <w:sz w:val="21"/>
              </w:rPr>
            </w:pPr>
            <w:r>
              <w:rPr>
                <w:rFonts w:hint="eastAsia" w:ascii="Arial"/>
                <w:sz w:val="21"/>
              </w:rPr>
              <w:t>组织相关人员培训，确保制度要求落实；</w:t>
            </w:r>
          </w:p>
          <w:p w14:paraId="5F0EC608">
            <w:pPr>
              <w:pStyle w:val="25"/>
              <w:spacing w:before="202" w:line="226" w:lineRule="auto"/>
              <w:ind w:left="324"/>
              <w:rPr>
                <w:rFonts w:hint="eastAsia" w:ascii="Arial" w:eastAsia="宋体"/>
                <w:sz w:val="21"/>
                <w:lang w:eastAsia="zh-CN"/>
              </w:rPr>
            </w:pPr>
            <w:r>
              <w:rPr>
                <w:rFonts w:hint="eastAsia"/>
              </w:rPr>
              <w:t>编制《运维工具使用效果自评估报告》的模板</w:t>
            </w:r>
            <w:r>
              <w:rPr>
                <w:rFonts w:hint="eastAsia"/>
                <w:lang w:eastAsia="zh-CN"/>
              </w:rPr>
              <w:t>；</w:t>
            </w:r>
          </w:p>
          <w:p w14:paraId="146D4948">
            <w:pPr>
              <w:pStyle w:val="25"/>
              <w:spacing w:before="202" w:line="226" w:lineRule="auto"/>
              <w:ind w:left="324"/>
              <w:rPr>
                <w:rFonts w:ascii="Arial"/>
                <w:sz w:val="21"/>
              </w:rPr>
            </w:pPr>
            <w:r>
              <w:rPr>
                <w:rFonts w:hint="eastAsia" w:ascii="Arial"/>
                <w:sz w:val="21"/>
              </w:rPr>
              <w:t>将工具效果评估纳入运维部例行工作，由产品质量部跟踪验证。</w:t>
            </w:r>
          </w:p>
          <w:p w14:paraId="2C277484">
            <w:pPr>
              <w:pStyle w:val="25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lang w:val="en-US" w:eastAsia="zh-CN"/>
              </w:rPr>
              <w:t>姚耿桂</w:t>
            </w:r>
            <w:r>
              <w:rPr>
                <w:spacing w:val="-4"/>
              </w:rPr>
              <w:t xml:space="preserve">     2025年</w:t>
            </w:r>
            <w:r>
              <w:rPr>
                <w:rFonts w:hint="eastAsia"/>
                <w:spacing w:val="-4"/>
                <w:lang w:val="en-US" w:eastAsia="zh-CN"/>
              </w:rPr>
              <w:t>12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val="en-US"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 w14:paraId="0FEF4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095" w:type="dxa"/>
            <w:gridSpan w:val="9"/>
          </w:tcPr>
          <w:p w14:paraId="3E6F5E87">
            <w:pPr>
              <w:pStyle w:val="25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 w14:paraId="1146F0C8">
            <w:pPr>
              <w:pStyle w:val="25"/>
              <w:spacing w:before="202" w:line="226" w:lineRule="auto"/>
              <w:ind w:left="324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已完成2025年度运维工具使用效果自评估，形成《运维工具自评估报告》；</w:t>
            </w:r>
          </w:p>
          <w:p w14:paraId="48ABA22D">
            <w:pPr>
              <w:pStyle w:val="25"/>
              <w:spacing w:before="202" w:line="226" w:lineRule="auto"/>
              <w:ind w:left="324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已完成《运维工具自评估报告》模板编制</w:t>
            </w:r>
            <w:r>
              <w:rPr>
                <w:rFonts w:hint="eastAsia"/>
                <w:spacing w:val="7"/>
                <w:lang w:eastAsia="zh-CN"/>
              </w:rPr>
              <w:t>。</w:t>
            </w:r>
          </w:p>
          <w:p w14:paraId="06562A36">
            <w:pPr>
              <w:pStyle w:val="25"/>
              <w:spacing w:before="68" w:line="214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spacing w:val="-3"/>
              </w:rPr>
              <w:t>验证人员：</w:t>
            </w:r>
            <w:r>
              <w:t>熊振翔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日期：2025/</w:t>
            </w:r>
            <w:r>
              <w:rPr>
                <w:rFonts w:hint="eastAsia"/>
                <w:spacing w:val="-3"/>
                <w:lang w:val="en-US" w:eastAsia="zh-CN"/>
              </w:rPr>
              <w:t>12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</w:p>
        </w:tc>
      </w:tr>
      <w:tr w14:paraId="3C631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34" w:type="dxa"/>
            <w:vMerge w:val="restart"/>
            <w:tcBorders>
              <w:bottom w:val="nil"/>
            </w:tcBorders>
          </w:tcPr>
          <w:p w14:paraId="29A5A241">
            <w:pPr>
              <w:spacing w:line="281" w:lineRule="auto"/>
              <w:rPr>
                <w:rFonts w:ascii="Arial"/>
                <w:sz w:val="21"/>
              </w:rPr>
            </w:pPr>
          </w:p>
          <w:p w14:paraId="30E59707">
            <w:pPr>
              <w:pStyle w:val="25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 w14:paraId="107E6D2D">
            <w:pPr>
              <w:pStyle w:val="25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 w14:paraId="5208F57E">
            <w:pPr>
              <w:pStyle w:val="25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 w14:paraId="61AB5871">
            <w:pPr>
              <w:pStyle w:val="25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 w14:paraId="06515152">
            <w:pPr>
              <w:spacing w:line="282" w:lineRule="auto"/>
              <w:rPr>
                <w:rFonts w:ascii="Arial"/>
                <w:sz w:val="21"/>
              </w:rPr>
            </w:pPr>
          </w:p>
          <w:p w14:paraId="12315A53">
            <w:pPr>
              <w:pStyle w:val="25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t>熊振翔</w:t>
            </w:r>
          </w:p>
          <w:p w14:paraId="642A7B9D">
            <w:pPr>
              <w:pStyle w:val="25"/>
              <w:spacing w:before="60" w:line="220" w:lineRule="auto"/>
              <w:ind w:left="188"/>
            </w:pPr>
            <w:r>
              <w:rPr>
                <w:spacing w:val="-8"/>
              </w:rPr>
              <w:t>2025年</w:t>
            </w:r>
            <w:r>
              <w:rPr>
                <w:rFonts w:hint="eastAsia"/>
                <w:spacing w:val="-8"/>
                <w:lang w:val="en-US" w:eastAsia="zh-CN"/>
              </w:rPr>
              <w:t>12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val="en-US"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 w14:paraId="1FCD2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34" w:type="dxa"/>
            <w:vMerge w:val="continue"/>
            <w:tcBorders>
              <w:top w:val="nil"/>
              <w:bottom w:val="nil"/>
            </w:tcBorders>
          </w:tcPr>
          <w:p w14:paraId="58A5BAF0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441AD9FF">
            <w:pPr>
              <w:pStyle w:val="25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  <w:bottom w:val="nil"/>
            </w:tcBorders>
          </w:tcPr>
          <w:p w14:paraId="6C8562D3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  <w:bottom w:val="nil"/>
            </w:tcBorders>
          </w:tcPr>
          <w:p w14:paraId="1EAFF026">
            <w:pPr>
              <w:rPr>
                <w:rFonts w:ascii="Arial"/>
                <w:sz w:val="21"/>
              </w:rPr>
            </w:pPr>
          </w:p>
        </w:tc>
      </w:tr>
      <w:tr w14:paraId="0AB9B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934" w:type="dxa"/>
            <w:vMerge w:val="continue"/>
            <w:tcBorders>
              <w:top w:val="nil"/>
            </w:tcBorders>
          </w:tcPr>
          <w:p w14:paraId="51D6DCB7"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 w14:paraId="2BB62BD1">
            <w:pPr>
              <w:pStyle w:val="25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 w:val="continue"/>
            <w:tcBorders>
              <w:top w:val="nil"/>
            </w:tcBorders>
          </w:tcPr>
          <w:p w14:paraId="67D5D67A"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 w:val="continue"/>
            <w:tcBorders>
              <w:top w:val="nil"/>
            </w:tcBorders>
          </w:tcPr>
          <w:p w14:paraId="20D55895">
            <w:pPr>
              <w:rPr>
                <w:rFonts w:ascii="Arial"/>
                <w:sz w:val="21"/>
              </w:rPr>
            </w:pPr>
          </w:p>
        </w:tc>
      </w:tr>
    </w:tbl>
    <w:p w14:paraId="0EA9989D">
      <w:pPr>
        <w:rPr>
          <w:rFonts w:ascii="Arial"/>
          <w:sz w:val="21"/>
        </w:rPr>
      </w:pPr>
    </w:p>
    <w:sectPr>
      <w:pgSz w:w="11906" w:h="16839"/>
      <w:pgMar w:top="1431" w:right="1400" w:bottom="0" w:left="14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8973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648</Words>
  <Characters>757</Characters>
  <Lines>0</Lines>
  <Paragraphs>0</Paragraphs>
  <TotalTime>4</TotalTime>
  <ScaleCrop>false</ScaleCrop>
  <LinksUpToDate>false</LinksUpToDate>
  <CharactersWithSpaces>842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2025-08-17T00:37:00Z</dcterms:created>
  <dc:creator>caixia</dc:creator>
  <cp:lastModifiedBy>郝宇</cp:lastModifiedBy>
  <dcterms:modified xsi:type="dcterms:W3CDTF">2026-06-10T15:33:12Z</dcterms:modified>
  <dc:title>机务验收环境搭建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eyJoZGlkIjoiZWI4NmUzMGY2ODA3MDc4ZTFlMjZjZTAyMjM0NmVmODgiLCJ1c2VySWQiOiIxMDc1MzgyOSJ9</vt:lpwstr>
  </property>
</Properties>
</file>