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工作交接管理制度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HFSJ-ITSS-0506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_Toc10353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_Toc10353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_Toc16901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术语与定义</w:t>
          </w:r>
          <w:r>
            <w:tab/>
          </w:r>
          <w:r>
            <w:fldChar w:fldCharType="begin"/>
          </w:r>
          <w:r>
            <w:instrText xml:space="preserve"> PAGEREF _Toc7010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角色与职责</w:t>
          </w:r>
          <w:r>
            <w:tab/>
          </w:r>
          <w:r>
            <w:fldChar w:fldCharType="begin"/>
          </w:r>
          <w:r>
            <w:instrText xml:space="preserve"> PAGEREF _Toc30057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交接触发场景</w:t>
          </w:r>
          <w:r>
            <w:tab/>
          </w:r>
          <w:r>
            <w:fldChar w:fldCharType="begin"/>
          </w:r>
          <w:r>
            <w:instrText xml:space="preserve"> PAGEREF _Toc27564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交接内容与标准</w:t>
          </w:r>
          <w:r>
            <w:tab/>
          </w:r>
          <w:r>
            <w:fldChar w:fldCharType="begin"/>
          </w:r>
          <w:r>
            <w:instrText xml:space="preserve"> PAGEREF _Toc6095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业务工作交接内容</w:t>
          </w:r>
          <w:r>
            <w:tab/>
          </w:r>
          <w:r>
            <w:fldChar w:fldCharType="begin"/>
          </w:r>
          <w:r>
            <w:instrText xml:space="preserve"> PAGEREF _Toc21198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公司物品交接内容</w:t>
          </w:r>
          <w:r>
            <w:tab/>
          </w:r>
          <w:r>
            <w:fldChar w:fldCharType="begin"/>
          </w:r>
          <w:r>
            <w:instrText xml:space="preserve"> PAGEREF _Toc24330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运维专项交接内容</w:t>
          </w:r>
          <w:r>
            <w:tab/>
          </w:r>
          <w:r>
            <w:fldChar w:fldCharType="begin"/>
          </w:r>
          <w:r>
            <w:instrText xml:space="preserve"> PAGEREF _Toc20576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交接流程</w:t>
          </w:r>
          <w:r>
            <w:tab/>
          </w:r>
          <w:r>
            <w:fldChar w:fldCharType="begin"/>
          </w:r>
          <w:r>
            <w:instrText xml:space="preserve"> PAGEREF _Toc4402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交接要求</w:t>
          </w:r>
          <w:r>
            <w:tab/>
          </w:r>
          <w:r>
            <w:fldChar w:fldCharType="begin"/>
          </w:r>
          <w:r>
            <w:instrText xml:space="preserve"> PAGEREF _Toc19308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时间要求</w:t>
          </w:r>
          <w:r>
            <w:tab/>
          </w:r>
          <w:r>
            <w:fldChar w:fldCharType="begin"/>
          </w:r>
          <w:r>
            <w:instrText xml:space="preserve"> PAGEREF _Toc13596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过程要求</w:t>
          </w:r>
          <w:r>
            <w:tab/>
          </w:r>
          <w:r>
            <w:fldChar w:fldCharType="begin"/>
          </w:r>
          <w:r>
            <w:instrText xml:space="preserve"> PAGEREF _Toc17315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后续要求</w:t>
          </w:r>
          <w:r>
            <w:tab/>
          </w:r>
          <w:r>
            <w:fldChar w:fldCharType="begin"/>
          </w:r>
          <w:r>
            <w:instrText xml:space="preserve"> PAGEREF _Toc14134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责任划分</w:t>
          </w:r>
          <w:r>
            <w:tab/>
          </w:r>
          <w:r>
            <w:fldChar w:fldCharType="begin"/>
          </w:r>
          <w:r>
            <w:instrText xml:space="preserve"> PAGEREF _Toc14643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交接问题处理</w:t>
          </w:r>
          <w:r>
            <w:tab/>
          </w:r>
          <w:r>
            <w:fldChar w:fldCharType="begin"/>
          </w:r>
          <w:r>
            <w:instrText xml:space="preserve"> PAGEREF _Toc11917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 输出的文件和记录</w:t>
          </w:r>
          <w:r>
            <w:tab/>
          </w:r>
          <w:r>
            <w:fldChar w:fldCharType="begin"/>
          </w:r>
          <w:r>
            <w:instrText xml:space="preserve"> PAGEREF _Toc26689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_Toc22954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术语定义表</w:t>
      </w:r>
      <w:r>
        <w:tab/>
      </w:r>
      <w:r>
        <w:fldChar w:fldCharType="begin"/>
      </w:r>
      <w:r>
        <w:instrText xml:space="preserve"> PAGEREF _Toc22954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_Toc10192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角色职责表</w:t>
      </w:r>
      <w:r>
        <w:tab/>
      </w:r>
      <w:r>
        <w:fldChar w:fldCharType="begin"/>
      </w:r>
      <w:r>
        <w:instrText xml:space="preserve"> PAGEREF _Toc10192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交接触发场景表</w:t>
      </w:r>
      <w:r>
        <w:tab/>
      </w:r>
      <w:r>
        <w:fldChar w:fldCharType="begin"/>
      </w:r>
      <w:r>
        <w:instrText xml:space="preserve"> PAGEREF _Toc25673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_Toc27477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业务工作交接内容表</w:t>
      </w:r>
      <w:r>
        <w:tab/>
      </w:r>
      <w:r>
        <w:fldChar w:fldCharType="begin"/>
      </w:r>
      <w:r>
        <w:instrText xml:space="preserve"> PAGEREF _Toc27477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_Toc19516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公司物品交接内容表</w:t>
      </w:r>
      <w:r>
        <w:tab/>
      </w:r>
      <w:r>
        <w:fldChar w:fldCharType="begin"/>
      </w:r>
      <w:r>
        <w:instrText xml:space="preserve"> PAGEREF _Toc19516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运维专项交接内容表</w:t>
      </w:r>
      <w:r>
        <w:tab/>
      </w:r>
      <w:r>
        <w:fldChar w:fldCharType="begin"/>
      </w:r>
      <w:r>
        <w:instrText xml:space="preserve"> PAGEREF _Toc2630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_Toc10818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工作交接流程表</w:t>
      </w:r>
      <w:r>
        <w:tab/>
      </w:r>
      <w:r>
        <w:fldChar w:fldCharType="begin"/>
      </w:r>
      <w:r>
        <w:instrText xml:space="preserve"> PAGEREF _Toc10818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_Toc6519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交接时间要求表</w:t>
      </w:r>
      <w:r>
        <w:tab/>
      </w:r>
      <w:r>
        <w:fldChar w:fldCharType="begin"/>
      </w:r>
      <w:r>
        <w:instrText xml:space="preserve"> PAGEREF _Toc6519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_Toc8443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责任划分表</w:t>
      </w:r>
      <w:r>
        <w:tab/>
      </w:r>
      <w:r>
        <w:fldChar w:fldCharType="begin"/>
      </w:r>
      <w:r>
        <w:instrText xml:space="preserve"> PAGEREF _Toc8443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_Toc28852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交接问题处理表</w:t>
      </w:r>
      <w:r>
        <w:tab/>
      </w:r>
      <w:r>
        <w:fldChar w:fldCharType="begin"/>
      </w:r>
      <w:r>
        <w:instrText xml:space="preserve"> PAGEREF _Toc28852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_Toc26527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_Toc26527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rPr>
          <w:rFonts w:hint="default"/>
          <w:lang w:val="en-US" w:eastAsia="zh-CN"/>
        </w:rPr>
      </w:pPr>
      <w:r>
        <w:fldChar w:fldCharType="end"/>
      </w: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10353"/>
      <w:bookmarkStart w:id="2" w:name="_Toc11063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规范公司员工在岗位变动、离职、休假等情形下的工作交接行为，确保工作衔接顺畅、资产资料完整、责任界定清晰，避免因交接不清引起的工作失误及资产损失，保障运维服务业务的连续性和稳定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6901"/>
      <w:r>
        <w:rPr>
          <w:rFonts w:hint="default"/>
          <w:lang w:val="en-US" w:eastAsia="zh-CN"/>
        </w:rPr>
        <w:t>范围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本制度适用于公司全体员工。各岗位人员在发生以下情形时，必须依照本制度办理工作交接：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bookmarkStart w:id="4" w:name="_GoBack"/>
      <w:r>
        <w:rPr>
          <w:rFonts w:hint="default"/>
          <w:lang w:val="en-US" w:eastAsia="zh-CN"/>
        </w:rPr>
        <w:t>内部岗位调整（晋升、调岗、轮岗）；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离职（辞职、辞退、合同到期不续签）；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长期休假（请假超过7个工作日）；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短期离岗（超过3个工作日且工作需他人接替）；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岗位职责重大调整；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其他需要工作交接的情形。</w:t>
      </w:r>
    </w:p>
    <w:p>
      <w:pPr>
        <w:pStyle w:val="1"/>
        <w:bidi w:val="0"/>
        <w:rPr>
          <w:rFonts w:hint="default"/>
          <w:lang w:val="en-US" w:eastAsia="zh-CN"/>
        </w:rPr>
      </w:pPr>
      <w:bookmarkEnd w:id="4"/>
      <w:bookmarkStart w:id="5" w:name="_Toc7010"/>
      <w:r>
        <w:rPr>
          <w:rFonts w:hint="default"/>
          <w:lang w:val="en-US" w:eastAsia="zh-CN"/>
        </w:rPr>
        <w:t>术语与定义</w:t>
      </w:r>
      <w:bookmarkEnd w:id="5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22954"/>
      <w:r>
        <w:rPr>
          <w:rFonts w:hint="default"/>
          <w:lang w:val="en-US" w:eastAsia="zh-CN"/>
        </w:rPr>
        <w:t xml:space="preserve"> 术语定义表</w:t>
      </w:r>
      <w:bookmarkEnd w:id="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1"/>
        <w:gridCol w:w="706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706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原岗位责任人，需将工作移交给他人的人员（原移交人）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接交人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接收工作的人员，负责承接交接人的工作职责（原接收人）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监督交接过程的人员，通常为双方部门负责人或指定代表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交接清单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列明需交接事项的详细清单，包括工作内容、文件、账号、资产等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交接确认书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交接完成后，三方签字确认的正式文件（即《工作交接表》）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7" w:name="_Toc30057"/>
      <w:r>
        <w:rPr>
          <w:rFonts w:hint="default"/>
          <w:lang w:val="en-US" w:eastAsia="zh-CN"/>
        </w:rPr>
        <w:t>角色与职责</w:t>
      </w:r>
      <w:bookmarkEnd w:id="7"/>
    </w:p>
    <w:p>
      <w:pPr>
        <w:pStyle w:val="a1"/>
        <w:keepNex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10192"/>
      <w:r>
        <w:rPr>
          <w:rFonts w:hint="default"/>
          <w:lang w:val="en-US" w:eastAsia="zh-CN"/>
        </w:rPr>
        <w:t xml:space="preserve"> 角色职责表</w:t>
      </w:r>
      <w:bookmarkEnd w:id="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2"/>
        <w:gridCol w:w="5659"/>
        <w:gridCol w:w="169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7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565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职责说明</w:t>
            </w:r>
          </w:p>
        </w:tc>
        <w:tc>
          <w:tcPr>
            <w:tcW w:w="16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对应原岗位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认真整理职责内的各种资产、资料，保证其完整性和真实性；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梳理工作流程和工作关系，准备移交；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处理遗留问题，如实回答接交人和监交人的询问；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配合完成交接验收，对交接内容的真实性、完整性负责。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移交人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接交人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认真检查交接人的各种资产、资料，保证账实相符；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尽快熟悉工作的各项流程和各种工作关系；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对交接后的工作结果负责；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交接后仍有不清楚的，及时联系交接人。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接收人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监督交接过程，确保程序规范；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核实交接清单，必要时作适当调整；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及时发现问题，协同交接人和接交人拟订处理方案；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对交接的规范性负责。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审批本部门的交接申请；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指定监交人；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审核签字确认《工作交接表》；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对交接的最终效果负责。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移交人的部门经理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负责本制度的制订、解释和修订；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监督各部门交接制度的执行情况；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对交接过程进行检查，发现问题及时处理；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负责《工作交接表》的归档管理。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9" w:name="_Toc27564"/>
      <w:r>
        <w:rPr>
          <w:rFonts w:hint="default"/>
          <w:lang w:val="en-US" w:eastAsia="zh-CN"/>
        </w:rPr>
        <w:t>交接触发场景</w:t>
      </w:r>
      <w:bookmarkEnd w:id="9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25673"/>
      <w:r>
        <w:rPr>
          <w:rFonts w:hint="default"/>
          <w:lang w:val="en-US" w:eastAsia="zh-CN"/>
        </w:rPr>
        <w:t xml:space="preserve"> 交接触发场景表</w:t>
      </w:r>
      <w:bookmarkEnd w:id="10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9"/>
        <w:gridCol w:w="2844"/>
        <w:gridCol w:w="2497"/>
        <w:gridCol w:w="1608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触发场景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交接启动时间</w:t>
            </w:r>
          </w:p>
        </w:tc>
        <w:tc>
          <w:tcPr>
            <w:tcW w:w="160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交接时长要求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内部岗位调整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晋升、调岗、轮岗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调整通知下发后1个工作日内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不少于2个工作日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员工辞职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员工主动提出离职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离职申请批准后1个工作日内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不少于3个工作日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辞退/解聘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公司决定解除劳动合同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通知发出后1个工作日内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不少于2个工作日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合同到期不续签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劳动合同到期不再续签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合同到期前5个工作日启动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不少于3个工作日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长期休假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请假超过7个工作日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请假批准后1个工作日内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不少于1个工作日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短期离岗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超过3个工作日且工作需他人接替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离岗前2个工作日启动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不少于0.5个工作日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岗位职责重大调整</w:t>
            </w:r>
          </w:p>
        </w:tc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职责范围发生重大变化</w:t>
            </w: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调整实施前3个工作日启动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视情况定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1" w:name="_Toc6095"/>
      <w:r>
        <w:rPr>
          <w:rFonts w:hint="default"/>
          <w:lang w:val="en-US" w:eastAsia="zh-CN"/>
        </w:rPr>
        <w:t>交接内容与标准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1198"/>
      <w:r>
        <w:rPr>
          <w:rFonts w:hint="default"/>
          <w:lang w:val="en-US" w:eastAsia="zh-CN"/>
        </w:rPr>
        <w:t>业务工作交接内容</w:t>
      </w:r>
      <w:bookmarkEnd w:id="12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3" w:name="_Toc27477"/>
      <w:r>
        <w:rPr>
          <w:rFonts w:hint="default"/>
          <w:lang w:val="en-US" w:eastAsia="zh-CN"/>
        </w:rPr>
        <w:t xml:space="preserve"> 业务工作交接内容表</w:t>
      </w:r>
      <w:bookmarkEnd w:id="1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1"/>
        <w:gridCol w:w="3559"/>
        <w:gridCol w:w="354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交接内容</w:t>
            </w:r>
          </w:p>
        </w:tc>
        <w:tc>
          <w:tcPr>
            <w:tcW w:w="354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客户信息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重要客户名单、联系人及联络方式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确保信息准确、完整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合作伙伴信息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供应商、合作伙伴名单及联络方式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确保信息准确、完整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已完成工作的详细工作报告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包括成果、数据、文档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待办事宜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未完成工作的各项待办事宜及关键点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明确当前进度、下一步计划、注意事项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岗位资料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本岗位的岗位职责、分工说明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确保接交人理解岗位要求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业务流程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相关业务流程说明、操作手册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确保接交人掌握操作规范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文件资料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纸质和电子文件资料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按分类整理，列明清单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9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账号权限</w:t>
            </w:r>
          </w:p>
        </w:tc>
        <w:tc>
          <w:tcPr>
            <w:tcW w:w="35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系统账号、密码、权限说明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密码需在交接后修改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4" w:name="_Toc24330"/>
      <w:r>
        <w:rPr>
          <w:rFonts w:hint="default"/>
          <w:lang w:val="en-US" w:eastAsia="zh-CN"/>
        </w:rPr>
        <w:t>公司物品交接内容</w:t>
      </w:r>
      <w:bookmarkEnd w:id="14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5" w:name="_Toc19516"/>
      <w:r>
        <w:rPr>
          <w:rFonts w:hint="default"/>
          <w:lang w:val="en-US" w:eastAsia="zh-CN"/>
        </w:rPr>
        <w:t xml:space="preserve"> 公司物品交接内容表</w:t>
      </w:r>
      <w:bookmarkEnd w:id="15"/>
    </w:p>
    <w:tbl>
      <w:tblPr>
        <w:tblStyle w:val="TableNormal"/>
        <w:tblW w:w="811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49"/>
        <w:gridCol w:w="4780"/>
        <w:gridCol w:w="2286"/>
      </w:tblGrid>
      <w:tr>
        <w:tblPrEx>
          <w:tblW w:w="811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办公用品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办公设备、电脑、手机、U盘、书籍、钥匙等</w:t>
            </w:r>
          </w:p>
        </w:tc>
        <w:tc>
          <w:tcPr>
            <w:tcW w:w="228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确保实物与清单一致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证件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公司发给员工的各种证件（如工作证、门禁卡）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核对数量、有效期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重要文件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营业执照正副本、企业章程、各类批件等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确保原件齐全、无损坏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档案资料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接收的其他已离职人员的工作资料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确保完整移交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财务凭证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财务部开具的财务款项结清证明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证明无未结清款项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印章</w:t>
            </w:r>
          </w:p>
        </w:tc>
        <w:tc>
          <w:tcPr>
            <w:tcW w:w="47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部门印章、合同专用章等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确保完好无损</w:t>
            </w:r>
          </w:p>
        </w:tc>
      </w:tr>
    </w:tbl>
    <w:p>
      <w:pPr>
        <w:pStyle w:val="a1"/>
        <w:bidi w:val="0"/>
        <w:jc w:val="center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0576"/>
      <w:r>
        <w:rPr>
          <w:rFonts w:hint="default"/>
          <w:lang w:val="en-US" w:eastAsia="zh-CN"/>
        </w:rPr>
        <w:t>运维专项交接内容</w:t>
      </w:r>
      <w:bookmarkEnd w:id="16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7" w:name="_Toc2630"/>
      <w:r>
        <w:rPr>
          <w:rFonts w:hint="default"/>
          <w:lang w:val="en-US" w:eastAsia="zh-CN"/>
        </w:rPr>
        <w:t xml:space="preserve"> 运维专项交接内容表</w:t>
      </w:r>
      <w:bookmarkEnd w:id="1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4"/>
        <w:gridCol w:w="4247"/>
        <w:gridCol w:w="282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交接内容</w:t>
            </w:r>
          </w:p>
        </w:tc>
        <w:tc>
          <w:tcPr>
            <w:tcW w:w="28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系统账号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运维系统、监控系统、云平台等账号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列明账号、权限、关联人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服务器信息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服务器IP、登录方式、配置信息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确保信息准确、安全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网络拓扑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网络结构图、设备配置信息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确保图纸最新版本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故障记录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历史故障处理记录、典型案例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便于接交人快速上手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自研工具、脚本、配置文件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确保代码完整、注释清晰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2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备件信息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备件库存、存放位置、使用记录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核对实物与台账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8" w:name="_Toc4402"/>
      <w:r>
        <w:rPr>
          <w:rFonts w:hint="default"/>
          <w:lang w:val="en-US" w:eastAsia="zh-CN"/>
        </w:rPr>
        <w:t>交接流程</w:t>
      </w:r>
      <w:bookmarkEnd w:id="18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10818"/>
      <w:r>
        <w:rPr>
          <w:rFonts w:hint="default"/>
          <w:lang w:val="en-US" w:eastAsia="zh-CN"/>
        </w:rPr>
        <w:t xml:space="preserve"> 工作交接流程表</w:t>
      </w:r>
      <w:bookmarkEnd w:id="1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4632"/>
        <w:gridCol w:w="1213"/>
        <w:gridCol w:w="154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2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46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流程内容</w:t>
            </w:r>
          </w:p>
        </w:tc>
        <w:tc>
          <w:tcPr>
            <w:tcW w:w="12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15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输出文件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1.启动交接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职位异动申请批准后，部门负责人安排工作交接，明确监交人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交接通知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2.准备交接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交接人填写《工作交接表》，准备交接材料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《工作交接表》（草稿）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3.审核清单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监交人核实《工作交接表》，必要时作适当调整，确定最终交接清单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《工作交接表》（确认版）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4.现场交接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交接人、接交人、监交人三方同时在场，逐项按交接清单清点文件资料和办公物品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三方共同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交接过程记录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5.签字确认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核对无误后，三方共同在《工作交接表》上签字确认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三方共同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签字版《工作交接表》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6.部门审核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经三方签字确认的《工作交接表》送部门负责人审核签字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审核签字版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7.财务确认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涉及财务款项的，到财务部办理结清手续，取得《财务款项结清证明》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交接人、财务部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《财务款项结清证明》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8.人事归档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《工作交接表》原件送综合部，存入员工个人档案；复印件分别留存于交接人和接交人处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归档记录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9.办理手续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交接手续完成后，综合部办理后续异动手续（离职、调岗等）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异动手续</w:t>
            </w:r>
          </w:p>
        </w:tc>
      </w:tr>
    </w:tbl>
    <w:p>
      <w:pPr>
        <w:pStyle w:val="a1"/>
        <w:bidi w:val="0"/>
        <w:jc w:val="center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19308"/>
      <w:r>
        <w:rPr>
          <w:rFonts w:hint="default"/>
          <w:lang w:val="en-US" w:eastAsia="zh-CN"/>
        </w:rPr>
        <w:t>交接要求</w:t>
      </w:r>
      <w:bookmarkEnd w:id="20"/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3596"/>
      <w:r>
        <w:rPr>
          <w:rFonts w:hint="default"/>
          <w:lang w:val="en-US" w:eastAsia="zh-CN"/>
        </w:rPr>
        <w:t>时间要求</w:t>
      </w:r>
      <w:bookmarkEnd w:id="21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6519"/>
      <w:r>
        <w:rPr>
          <w:rFonts w:hint="default"/>
          <w:lang w:val="en-US" w:eastAsia="zh-CN"/>
        </w:rPr>
        <w:t xml:space="preserve"> 交接时间要求表</w:t>
      </w:r>
      <w:bookmarkEnd w:id="2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8"/>
        <w:gridCol w:w="753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98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75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具体要求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坚守岗位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职位异动申请未经批准前，员工必须坚守岗位。若因私自离岗或消极怠工给公司造成损失者，公司将按制度予以处罚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启动时间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需工作交接情形发生时，应在规定时间内启动交接（见第5章）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交接时长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交接时间原则为2-3个工作日，特殊需要可适当延长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完成时限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应在工作调动、请假或离职前完成工作交接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3" w:name="_Toc17315"/>
      <w:r>
        <w:rPr>
          <w:rFonts w:hint="default"/>
          <w:lang w:val="en-US" w:eastAsia="zh-CN"/>
        </w:rPr>
        <w:t>过程要求</w:t>
      </w:r>
      <w:bookmarkEnd w:id="2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三方在场：工作交接必须交接人、接交人、监交人三方同时在场，逐项按交接清单清点确认。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书面报告：业务工作交接应由交接人向接交人和监交人出具书面报告，并认真回答询问。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监交权责：监交人有权召集相关人员了解交接人的具体工作情况。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签字确认：《工作交接表》填写不详或交接手续未办完者，综合部不予办理异动手续。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例外处理：如交接人因特别原因不能亲自办理工作交接，须提前申请经部门负责人核准后，可由指定负责人代为办理交接，但一切责任仍由原交接人承担。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14134"/>
      <w:r>
        <w:rPr>
          <w:rFonts w:hint="default"/>
          <w:lang w:val="en-US" w:eastAsia="zh-CN"/>
        </w:rPr>
        <w:t>后续要求</w:t>
      </w:r>
      <w:bookmarkEnd w:id="2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过渡期支持：工作交接完成后，尚在公司的离任员工仍有义务帮助接交人顺利开展工作。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问题响应：接交人对交接的工作尚有不清楚的，应及时联系交接人，交接人必须积极配合，直到交接清楚。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远程支持：已离职员工在离职后1个月内，有义务接受不超过3次的电话或远程咨询。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5" w:name="_Toc14643"/>
      <w:r>
        <w:rPr>
          <w:rFonts w:hint="default"/>
          <w:lang w:val="en-US" w:eastAsia="zh-CN"/>
        </w:rPr>
        <w:t>责任划分</w:t>
      </w:r>
      <w:bookmarkEnd w:id="25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6" w:name="_Toc8443"/>
      <w:r>
        <w:rPr>
          <w:rFonts w:hint="default"/>
          <w:lang w:val="en-US" w:eastAsia="zh-CN"/>
        </w:rPr>
        <w:t xml:space="preserve"> 责任划分表</w:t>
      </w:r>
      <w:bookmarkEnd w:id="2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0"/>
        <w:gridCol w:w="699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699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对交接内容的真实性、完整性负责；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对故意隐瞒问题造成的损失承担全部责任；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对交接后发现的未交接事项负责补充交接。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接交人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对接收后的工作结果负责；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对交接中已确认无误的事项承担责任；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对未及时提出疑问导致的问题承担相应责任。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对交接过程的规范性负责；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对交接清单的完整性负责；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对未发现的明显问题承担监督责任。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对交接的最终效果负责；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对交接中发现的遗漏问题及时处理。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对交接制度的执行情况负责；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对于不负责任给公司造成损失者，严格追究相关人员责任。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7" w:name="_Toc11917"/>
      <w:r>
        <w:rPr>
          <w:rFonts w:hint="default"/>
          <w:lang w:val="en-US" w:eastAsia="zh-CN"/>
        </w:rPr>
        <w:t>交接问题处理</w:t>
      </w:r>
      <w:bookmarkEnd w:id="27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8" w:name="_Toc28852"/>
      <w:r>
        <w:rPr>
          <w:rFonts w:hint="default"/>
          <w:lang w:val="en-US" w:eastAsia="zh-CN"/>
        </w:rPr>
        <w:t xml:space="preserve"> 交接问题处理表</w:t>
      </w:r>
      <w:bookmarkEnd w:id="28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3"/>
        <w:gridCol w:w="4954"/>
        <w:gridCol w:w="1861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处理方式</w:t>
            </w:r>
          </w:p>
        </w:tc>
        <w:tc>
          <w:tcPr>
            <w:tcW w:w="186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交接内容不完整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监交人要求交接人补充完善，延长交接时间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监交人、交接人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发现账实不符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监交人会同交接人及接交人核查原因，拟订处理意见上报部门负责人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监交人、交接人、接交人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短时间不能处理的问题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监交人会同交接人及接交人拟订处理意见，及时上报部门负责人和领导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交接人故意隐瞒问题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由交接人承担全部责任损失，纳入绩效考核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交接双方有争议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监交人协调解决，无法解决的报部门负责人裁决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监交人、部门负责人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交接手续未完成</w:t>
            </w:r>
          </w:p>
        </w:tc>
        <w:tc>
          <w:tcPr>
            <w:tcW w:w="49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综合部不予办理离岗手续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End w:id="2"/>
      <w:bookmarkStart w:id="29" w:name="_Toc26689"/>
      <w:r>
        <w:rPr>
          <w:rFonts w:hint="default"/>
          <w:lang w:val="en-US" w:eastAsia="zh-CN"/>
        </w:rPr>
        <w:t>输出的文件和记录</w:t>
      </w:r>
      <w:bookmarkEnd w:id="29"/>
    </w:p>
    <w:p>
      <w:pPr>
        <w:pStyle w:val="a1"/>
        <w:keepNex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0" w:name="_Toc26527"/>
      <w:r>
        <w:rPr>
          <w:rFonts w:hint="default"/>
          <w:lang w:val="en-US" w:eastAsia="zh-CN"/>
        </w:rPr>
        <w:t xml:space="preserve"> 输出文件和记录表</w:t>
      </w:r>
      <w:bookmarkEnd w:id="3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12"/>
        <w:gridCol w:w="2070"/>
        <w:gridCol w:w="321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32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长期（存入员工档案）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《财务款项结清证明》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财务部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《交接问题处理记录》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21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《交接检查记录》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2年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B3F6263"/>
    <w:multiLevelType w:val="singleLevel"/>
    <w:tmpl w:val="6B3F626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3652</Words>
  <Characters>3839</Characters>
  <Application>Microsoft Office Word</Application>
  <DocSecurity>0</DocSecurity>
  <Lines>0</Lines>
  <Paragraphs>0</Paragraphs>
  <ScaleCrop>false</ScaleCrop>
  <Company/>
  <LinksUpToDate>false</LinksUpToDate>
  <CharactersWithSpaces>4006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2026-04-07T20:30:36Z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