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77FC75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 w14:paraId="65A8F07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运维服务过程框架管理制度</w:t>
      </w:r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1A24A4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26BCD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496790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HFSJ-ITSS-0601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3EC722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8AD44C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1B7EE0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5803CF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F7E1F9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E9C58E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717482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3DECF4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8A28E7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DEF34F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5B7D16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A0DD72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4E95FC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0ADBB6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B7379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C31DB9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C2BF09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127B2A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99688A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23F9D6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38632C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C31249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 w14:paraId="2FF33AF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82FBE8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6D0C06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8AA5E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00CB4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BBFF1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7CC2C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70155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013A74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00E63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4F935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AC9AA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1CEEC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12209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1EEF18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57D1F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3D0F5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15D3B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3F631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51A8B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6A5DCA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BFA9E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5E004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0141C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21EB5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7AC89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1B3EBC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E1EB9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FA755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CE228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CAEC9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D2B65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19C083D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24D2002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7C282879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_Toc15377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_Toc15377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4B1410B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_Toc7034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适用范围</w:t>
          </w:r>
          <w:r>
            <w:tab/>
          </w:r>
          <w:r>
            <w:fldChar w:fldCharType="begin"/>
          </w:r>
          <w:r>
            <w:instrText xml:space="preserve"> PAGEREF _Toc7034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563ED08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_Toc22800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术语</w:t>
          </w:r>
          <w:r>
            <w:tab/>
          </w:r>
          <w:r>
            <w:fldChar w:fldCharType="begin"/>
          </w:r>
          <w:r>
            <w:instrText xml:space="preserve"> PAGEREF _Toc22800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8A1DDF8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_Toc2316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职责分工</w:t>
          </w:r>
          <w:r>
            <w:tab/>
          </w:r>
          <w:r>
            <w:fldChar w:fldCharType="begin"/>
          </w:r>
          <w:r>
            <w:instrText xml:space="preserve"> PAGEREF _Toc2316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D13B8F5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_Toc2644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运维服务过程框架</w:t>
          </w:r>
          <w:r>
            <w:tab/>
          </w:r>
          <w:r>
            <w:fldChar w:fldCharType="begin"/>
          </w:r>
          <w:r>
            <w:instrText xml:space="preserve"> PAGEREF _Toc2644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199FDFE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_Toc12409 </w:instrText>
          </w:r>
          <w:r>
            <w:fldChar w:fldCharType="separate"/>
          </w:r>
          <w:r>
            <w:rPr>
              <w:rFonts w:hint="default"/>
            </w:rPr>
            <w:t xml:space="preserve">5.1. </w:t>
          </w:r>
          <w:r>
            <w:t>服务规划与设计</w:t>
          </w:r>
          <w:r>
            <w:tab/>
          </w:r>
          <w:r>
            <w:fldChar w:fldCharType="begin"/>
          </w:r>
          <w:r>
            <w:instrText xml:space="preserve"> PAGEREF _Toc12409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2DC8C18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_Toc26371 </w:instrText>
          </w:r>
          <w:r>
            <w:fldChar w:fldCharType="separate"/>
          </w:r>
          <w:r>
            <w:rPr>
              <w:rFonts w:hint="default"/>
            </w:rPr>
            <w:t xml:space="preserve">5.2. </w:t>
          </w:r>
          <w:r>
            <w:t>服务部署与实施</w:t>
          </w:r>
          <w:r>
            <w:tab/>
          </w:r>
          <w:r>
            <w:fldChar w:fldCharType="begin"/>
          </w:r>
          <w:r>
            <w:instrText xml:space="preserve"> PAGEREF _Toc26371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8D97DD2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_Toc5033 </w:instrText>
          </w:r>
          <w:r>
            <w:fldChar w:fldCharType="separate"/>
          </w:r>
          <w:r>
            <w:rPr>
              <w:rFonts w:hint="default"/>
            </w:rPr>
            <w:t xml:space="preserve">5.3. </w:t>
          </w:r>
          <w:r>
            <w:t>服务运营与管理</w:t>
          </w:r>
          <w:r>
            <w:tab/>
          </w:r>
          <w:r>
            <w:fldChar w:fldCharType="begin"/>
          </w:r>
          <w:r>
            <w:instrText xml:space="preserve"> PAGEREF _Toc5033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A278B50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_Toc31576 </w:instrText>
          </w:r>
          <w:r>
            <w:fldChar w:fldCharType="separate"/>
          </w:r>
          <w:r>
            <w:rPr>
              <w:rFonts w:hint="default"/>
            </w:rPr>
            <w:t xml:space="preserve">5.4. </w:t>
          </w:r>
          <w:r>
            <w:t>服务监控与改进</w:t>
          </w:r>
          <w:r>
            <w:tab/>
          </w:r>
          <w:r>
            <w:fldChar w:fldCharType="begin"/>
          </w:r>
          <w:r>
            <w:instrText xml:space="preserve"> PAGEREF _Toc31576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E15E821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_Toc8215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管理要求</w:t>
          </w:r>
          <w:r>
            <w:tab/>
          </w:r>
          <w:r>
            <w:fldChar w:fldCharType="begin"/>
          </w:r>
          <w:r>
            <w:instrText xml:space="preserve"> PAGEREF _Toc8215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FDB9695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_Toc28773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t>奖惩机制</w:t>
          </w:r>
          <w:r>
            <w:tab/>
          </w:r>
          <w:r>
            <w:fldChar w:fldCharType="begin"/>
          </w:r>
          <w:r>
            <w:instrText xml:space="preserve"> PAGEREF _Toc28773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0B859C9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_Toc3590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 KPI指标</w:t>
          </w:r>
          <w:r>
            <w:tab/>
          </w:r>
          <w:r>
            <w:fldChar w:fldCharType="begin"/>
          </w:r>
          <w:r>
            <w:instrText xml:space="preserve"> PAGEREF _Toc3590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9D8B7F2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_Toc27382 </w:instrText>
          </w:r>
          <w:r>
            <w:fldChar w:fldCharType="separate"/>
          </w:r>
          <w:r>
            <w:rPr>
              <w:rFonts w:hint="default"/>
            </w:rPr>
            <w:t xml:space="preserve">9. </w:t>
          </w:r>
          <w:r>
            <w:t>输出的文件及记录</w:t>
          </w:r>
          <w:r>
            <w:tab/>
          </w:r>
          <w:r>
            <w:fldChar w:fldCharType="begin"/>
          </w:r>
          <w:r>
            <w:instrText xml:space="preserve"> PAGEREF _Toc27382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BB0E14C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 w14:paraId="1A63E86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 w14:paraId="39E12C97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TOC \h \c "表"</w:instrText>
      </w:r>
      <w:r>
        <w:fldChar w:fldCharType="separate"/>
      </w:r>
      <w:r>
        <w:fldChar w:fldCharType="begin"/>
      </w:r>
      <w:r>
        <w:instrText xml:space="preserve"> HYPERLINK \l _Toc28273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过程框架设计术语</w:t>
      </w:r>
      <w:r>
        <w:rPr>
          <w:rFonts w:hint="default"/>
          <w:lang w:val="en-US" w:eastAsia="zh-CN"/>
        </w:rPr>
        <w:t>表</w:t>
      </w:r>
      <w:r>
        <w:tab/>
      </w:r>
      <w:r>
        <w:fldChar w:fldCharType="begin"/>
      </w:r>
      <w:r>
        <w:instrText xml:space="preserve"> PAGEREF _Toc28273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1794E51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_Toc13798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过程框架设计职责表</w:t>
      </w:r>
      <w:r>
        <w:tab/>
      </w:r>
      <w:r>
        <w:fldChar w:fldCharType="begin"/>
      </w:r>
      <w:r>
        <w:instrText xml:space="preserve"> PAGEREF _Toc13798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0ECE7A4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_Toc22567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服务规划与设计活动表</w:t>
      </w:r>
      <w:r>
        <w:tab/>
      </w:r>
      <w:r>
        <w:fldChar w:fldCharType="begin"/>
      </w:r>
      <w:r>
        <w:instrText xml:space="preserve"> PAGEREF _Toc22567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A346738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_Toc28457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</w:t>
      </w:r>
      <w:r>
        <w:t>服务部署与实施活动表</w:t>
      </w:r>
      <w:r>
        <w:tab/>
      </w:r>
      <w:r>
        <w:fldChar w:fldCharType="begin"/>
      </w:r>
      <w:r>
        <w:instrText xml:space="preserve"> PAGEREF _Toc28457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CBCB1A9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_Toc21806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eastAsia"/>
          <w:lang w:val="en-US" w:eastAsia="zh-CN"/>
        </w:rPr>
        <w:t xml:space="preserve">  </w:t>
      </w:r>
      <w:r>
        <w:t>服务运营与管理活动表</w:t>
      </w:r>
      <w:r>
        <w:tab/>
      </w:r>
      <w:r>
        <w:fldChar w:fldCharType="begin"/>
      </w:r>
      <w:r>
        <w:instrText xml:space="preserve"> PAGEREF _Toc21806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853B277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_Toc19524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4 </w:t>
      </w:r>
      <w:r>
        <w:rPr>
          <w:rFonts w:hint="eastAsia"/>
          <w:lang w:val="en-US" w:eastAsia="zh-CN"/>
        </w:rPr>
        <w:t xml:space="preserve"> </w:t>
      </w:r>
      <w:r>
        <w:t>服务监控与改进活动表</w:t>
      </w:r>
      <w:r>
        <w:tab/>
      </w:r>
      <w:r>
        <w:fldChar w:fldCharType="begin"/>
      </w:r>
      <w:r>
        <w:instrText xml:space="preserve"> PAGEREF _Toc19524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94F2CB4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_Toc2775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过程框架管理要求表</w:t>
      </w:r>
      <w:r>
        <w:tab/>
      </w:r>
      <w:r>
        <w:fldChar w:fldCharType="begin"/>
      </w:r>
      <w:r>
        <w:instrText xml:space="preserve"> PAGEREF _Toc2775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BF1C974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_Toc7602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 </w:t>
      </w:r>
      <w:r>
        <w:t>过程框架奖惩机制表</w:t>
      </w:r>
      <w:r>
        <w:tab/>
      </w:r>
      <w:r>
        <w:fldChar w:fldCharType="begin"/>
      </w:r>
      <w:r>
        <w:instrText xml:space="preserve"> PAGEREF _Toc7602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0CDA5655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_Toc21283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KPI指标表</w:t>
      </w:r>
      <w:r>
        <w:tab/>
      </w:r>
      <w:r>
        <w:fldChar w:fldCharType="begin"/>
      </w:r>
      <w:r>
        <w:instrText xml:space="preserve"> PAGEREF _Toc21283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3EC18BA7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_Toc16410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输出文件和记录表</w:t>
      </w:r>
      <w:r>
        <w:tab/>
      </w:r>
      <w:r>
        <w:fldChar w:fldCharType="begin"/>
      </w:r>
      <w:r>
        <w:instrText xml:space="preserve"> PAGEREF _Toc16410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34DC083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 w14:paraId="51082DE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图目录</w:t>
      </w:r>
    </w:p>
    <w:p w14:paraId="56647B63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TOC \h \c "图"</w:instrText>
      </w:r>
      <w:r>
        <w:fldChar w:fldCharType="separate"/>
      </w:r>
      <w:r>
        <w:fldChar w:fldCharType="begin"/>
      </w:r>
      <w:r>
        <w:instrText xml:space="preserve"> HYPERLINK \l _Toc22062 </w:instrText>
      </w:r>
      <w: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运维服务过程框架图</w:t>
      </w:r>
      <w:r>
        <w:tab/>
      </w:r>
      <w:r>
        <w:fldChar w:fldCharType="begin"/>
      </w:r>
      <w:r>
        <w:instrText xml:space="preserve"> PAGEREF _Toc22062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3B848D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 w14:paraId="7A12B83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6B3210C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" w:name="heading_2"/>
      <w:bookmarkStart w:id="2" w:name="_Toc15377"/>
      <w:r>
        <w:t>目的</w:t>
      </w:r>
      <w:bookmarkEnd w:id="1"/>
      <w:bookmarkEnd w:id="2"/>
    </w:p>
    <w:p w14:paraId="171B165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为规范公司IT服务管理流程，确保运维服务全面符合信息技术服务标准（ITSS），持续提升运维服务的质量与执行效率，有效降低IT系统运行风险，为公司业务的稳定开展提供坚实的IT支撑。</w:t>
      </w:r>
    </w:p>
    <w:p w14:paraId="54D218E3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" w:name="_Toc7034"/>
      <w:bookmarkStart w:id="4" w:name="heading_3"/>
      <w:r>
        <w:t>适用范围</w:t>
      </w:r>
      <w:bookmarkEnd w:id="3"/>
      <w:bookmarkEnd w:id="4"/>
    </w:p>
    <w:p w14:paraId="405BE34F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覆盖公司内部所有涉及IT运维服务的部门与相关人员，包括运维部、研发部、产品质量部、综合部，同时适用于公司全部IT系统及各类运维服务流程。</w:t>
      </w:r>
    </w:p>
    <w:p w14:paraId="708FA8F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" w:name="_Toc22800"/>
      <w:bookmarkStart w:id="6" w:name="heading_4"/>
      <w:r>
        <w:t>术语</w:t>
      </w:r>
      <w:bookmarkEnd w:id="5"/>
      <w:bookmarkEnd w:id="6"/>
    </w:p>
    <w:p w14:paraId="3294D50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7" w:name="_Toc28273"/>
      <w:bookmarkStart w:id="8" w:name="_Toc15905"/>
      <w:bookmarkStart w:id="9" w:name="_Toc18262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过程框架设计术语</w:t>
      </w:r>
      <w:r>
        <w:rPr>
          <w:rFonts w:hint="default"/>
          <w:lang w:val="en-US" w:eastAsia="zh-CN"/>
        </w:rPr>
        <w:t>表</w:t>
      </w:r>
      <w:bookmarkEnd w:id="7"/>
      <w:bookmarkEnd w:id="8"/>
      <w:bookmarkEnd w:id="9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9"/>
        <w:gridCol w:w="6283"/>
      </w:tblGrid>
      <w:tr w14:paraId="0AC0A2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23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6D830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术语</w:t>
            </w:r>
          </w:p>
        </w:tc>
        <w:tc>
          <w:tcPr>
            <w:tcW w:w="628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9E7F7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定义</w:t>
            </w:r>
          </w:p>
        </w:tc>
      </w:tr>
      <w:tr w14:paraId="3F2524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0FCA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运维服务过程</w:t>
            </w:r>
          </w:p>
        </w:tc>
        <w:tc>
          <w:tcPr>
            <w:tcW w:w="62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B4389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为保障IT系统正常运行，按既定计划有序开展的服务规划设计、部署实施、运营管理、监控改进等一系列系统性活动</w:t>
            </w:r>
          </w:p>
        </w:tc>
      </w:tr>
      <w:tr w14:paraId="53FEA7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D9DFF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服务级别协议（SLA）</w:t>
            </w:r>
          </w:p>
        </w:tc>
        <w:tc>
          <w:tcPr>
            <w:tcW w:w="62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EE746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明确运维服务质量标准、响应时限、服务范围等核心内容的正式协议，是判定服务是否达标的关键依据</w:t>
            </w:r>
          </w:p>
        </w:tc>
      </w:tr>
      <w:tr w14:paraId="5D73E8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C0ED7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过程框架</w:t>
            </w:r>
          </w:p>
        </w:tc>
        <w:tc>
          <w:tcPr>
            <w:tcW w:w="62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23070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对运维服务中所有管理流程的系统化组织，包括过程清单、过程关系、过程管理要求等</w:t>
            </w:r>
          </w:p>
        </w:tc>
      </w:tr>
      <w:tr w14:paraId="78CA20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3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A8FEB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配置管理数据库（CMDB）</w:t>
            </w:r>
          </w:p>
        </w:tc>
        <w:tc>
          <w:tcPr>
            <w:tcW w:w="628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AF031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存储所有配置项及其相互关系的数据库，为其他运维流程提供配置信息支撑</w:t>
            </w:r>
          </w:p>
        </w:tc>
      </w:tr>
    </w:tbl>
    <w:p w14:paraId="781DD1B3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0" w:name="heading_5"/>
      <w:bookmarkStart w:id="11" w:name="_Toc2316"/>
      <w:r>
        <w:t>职责分工</w:t>
      </w:r>
      <w:bookmarkEnd w:id="10"/>
      <w:bookmarkEnd w:id="11"/>
    </w:p>
    <w:p w14:paraId="4A2DE9DF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2" w:name="_Toc13798"/>
      <w:r>
        <w:rPr>
          <w:rFonts w:hint="eastAsia"/>
          <w:lang w:val="en-US" w:eastAsia="zh-CN"/>
        </w:rPr>
        <w:t xml:space="preserve"> </w:t>
      </w:r>
      <w:r>
        <w:t>过程框架设计职责表</w:t>
      </w:r>
      <w:bookmarkEnd w:id="12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55"/>
        <w:gridCol w:w="7067"/>
      </w:tblGrid>
      <w:tr w14:paraId="78092C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5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17A80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角色</w:t>
            </w:r>
          </w:p>
        </w:tc>
        <w:tc>
          <w:tcPr>
            <w:tcW w:w="706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DC19E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职责</w:t>
            </w:r>
          </w:p>
        </w:tc>
      </w:tr>
      <w:tr w14:paraId="5A8F78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5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4276F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运维部</w:t>
            </w:r>
          </w:p>
        </w:tc>
        <w:tc>
          <w:tcPr>
            <w:tcW w:w="70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F9E1D9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负责制定并持续完善运维服务过程框架相关管理制度；</w:t>
            </w:r>
          </w:p>
          <w:p w14:paraId="46F9F26E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牵头组织服务规划设计、部署实施、运营管理、监控改进等核心活动；</w:t>
            </w:r>
          </w:p>
          <w:p w14:paraId="1B6B287F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承担运维服务团队的日常管理与专业培训工作，提升团队整体专业素质与服务能力；</w:t>
            </w:r>
          </w:p>
          <w:p w14:paraId="319ABEC5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监督并评估运维服务过程的执行情况，确保服务符合ITSS要求及SLA约定。</w:t>
            </w:r>
          </w:p>
        </w:tc>
      </w:tr>
      <w:tr w14:paraId="0FF340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5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E7CD8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研发部</w:t>
            </w:r>
          </w:p>
        </w:tc>
        <w:tc>
          <w:tcPr>
            <w:tcW w:w="70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A2FA09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参与运维服务过程的技术方案设计；</w:t>
            </w:r>
          </w:p>
          <w:p w14:paraId="17D334C3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提供技术工具和平台的部署支持；</w:t>
            </w:r>
          </w:p>
          <w:p w14:paraId="05C196F8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参与复杂技术问题的分析和解决。</w:t>
            </w:r>
          </w:p>
        </w:tc>
      </w:tr>
      <w:tr w14:paraId="6E9F1A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5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FB77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产品质量部</w:t>
            </w:r>
          </w:p>
        </w:tc>
        <w:tc>
          <w:tcPr>
            <w:tcW w:w="70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2D3232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监督运维服务过程的执行符合性；</w:t>
            </w:r>
          </w:p>
          <w:p w14:paraId="32E4555B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参与过程评审和服务质量评估；</w:t>
            </w:r>
          </w:p>
          <w:p w14:paraId="0BBDC08C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提出过程改进建议。</w:t>
            </w:r>
          </w:p>
        </w:tc>
      </w:tr>
      <w:tr w14:paraId="249A4B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5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CE41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综合部</w:t>
            </w:r>
          </w:p>
        </w:tc>
        <w:tc>
          <w:tcPr>
            <w:tcW w:w="70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6F18D0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协调跨部门资源，支持过程框架的实施；</w:t>
            </w:r>
          </w:p>
          <w:p w14:paraId="0159A11E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组织过程相关的培训活动。</w:t>
            </w:r>
          </w:p>
        </w:tc>
      </w:tr>
    </w:tbl>
    <w:p w14:paraId="253F35F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3" w:name="heading_6"/>
      <w:bookmarkStart w:id="14" w:name="_Toc2644"/>
      <w:r>
        <w:t>运维服务过程框架</w:t>
      </w:r>
      <w:bookmarkEnd w:id="13"/>
      <w:bookmarkEnd w:id="14"/>
    </w:p>
    <w:p w14:paraId="385BE81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公司运维服务过程框架分为四个核心阶段，各阶段相互关联、持续循环，形成完整的PDCA闭环。</w:t>
      </w:r>
    </w:p>
    <w:p w14:paraId="4E4F11ED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5" w:name="_Toc22062"/>
      <w:r>
        <w:rPr>
          <w:rFonts w:hint="eastAsia"/>
          <w:lang w:val="en-US" w:eastAsia="zh-CN"/>
        </w:rPr>
        <w:t xml:space="preserve"> </w:t>
      </w:r>
      <w:r>
        <w:t>运维服务过程框架图</w:t>
      </w:r>
      <w:bookmarkEnd w:id="15"/>
    </w:p>
    <w:p w14:paraId="110B427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object>
          <v:shape id="_x0000_i1025" o:spt="75" alt="" type="#_x0000_t75" style="height:281pt;width:419.15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6">
            <o:LockedField>false</o:LockedField>
          </o:OLEObject>
        </w:object>
      </w:r>
      <w:bookmarkStart w:id="42" w:name="_GoBack"/>
      <w:bookmarkEnd w:id="42"/>
    </w:p>
    <w:p w14:paraId="442A38D5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6" w:name="heading_7"/>
      <w:bookmarkStart w:id="17" w:name="_Toc12409"/>
      <w:r>
        <w:t>服务规划与设计</w:t>
      </w:r>
      <w:bookmarkEnd w:id="16"/>
      <w:bookmarkEnd w:id="17"/>
    </w:p>
    <w:p w14:paraId="087DD1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E6B507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8" w:name="_Toc22567"/>
      <w:r>
        <w:rPr>
          <w:rFonts w:hint="eastAsia"/>
          <w:lang w:val="en-US" w:eastAsia="zh-CN"/>
        </w:rPr>
        <w:t xml:space="preserve"> </w:t>
      </w:r>
      <w:r>
        <w:t>服务规划与设计活动表</w:t>
      </w:r>
      <w:bookmarkEnd w:id="18"/>
    </w:p>
    <w:tbl>
      <w:tblPr>
        <w:tblStyle w:val="22"/>
        <w:tblW w:w="779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75"/>
        <w:gridCol w:w="6519"/>
      </w:tblGrid>
      <w:tr w14:paraId="390C75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7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F93E9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活动项</w:t>
            </w:r>
          </w:p>
        </w:tc>
        <w:tc>
          <w:tcPr>
            <w:tcW w:w="651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F8AF1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内容</w:t>
            </w:r>
          </w:p>
        </w:tc>
      </w:tr>
      <w:tr w14:paraId="17F232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7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5E5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b/>
                <w:sz w:val="22"/>
              </w:rPr>
              <w:t>核心目标</w:t>
            </w:r>
          </w:p>
        </w:tc>
        <w:tc>
          <w:tcPr>
            <w:tcW w:w="651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83885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结合公司业务需求与IT战略规划，制定适配性强、可落地的运维服务方案</w:t>
            </w:r>
          </w:p>
        </w:tc>
      </w:tr>
      <w:tr w14:paraId="049629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7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8F2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b/>
                <w:sz w:val="22"/>
              </w:rPr>
              <w:t>关键活动</w:t>
            </w:r>
          </w:p>
        </w:tc>
        <w:tc>
          <w:tcPr>
            <w:tcW w:w="651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0FC64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全面分析业务对IT系统在功能、性能、可用性等方面的具体需求；</w:t>
            </w:r>
          </w:p>
          <w:p w14:paraId="7C409308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构建IT运维服务战略体系，设计配套的组织、流程、技术及资源架构；</w:t>
            </w:r>
          </w:p>
          <w:p w14:paraId="0EA5BADE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与相关方协商确定并签订服务级别协议（SLA）；</w:t>
            </w:r>
          </w:p>
          <w:p w14:paraId="73C598B0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识别运维服务所需的关键资源和技术能力。</w:t>
            </w:r>
          </w:p>
        </w:tc>
      </w:tr>
      <w:tr w14:paraId="1806E3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7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226B9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b/>
                <w:sz w:val="22"/>
              </w:rPr>
              <w:t>输入</w:t>
            </w:r>
          </w:p>
        </w:tc>
        <w:tc>
          <w:tcPr>
            <w:tcW w:w="651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1575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业务需求、客户合同、SLA要求、公司战略规划</w:t>
            </w:r>
          </w:p>
        </w:tc>
      </w:tr>
      <w:tr w14:paraId="09A8CC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7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73E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b/>
                <w:sz w:val="22"/>
              </w:rPr>
              <w:t>输出</w:t>
            </w:r>
          </w:p>
        </w:tc>
        <w:tc>
          <w:tcPr>
            <w:tcW w:w="651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CCD45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业务需求分析报告、运维服务战略规划书、服务架构设计方案、服务级别协议（SLA）</w:t>
            </w:r>
          </w:p>
        </w:tc>
      </w:tr>
      <w:tr w14:paraId="15D3E7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7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5D7C1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b/>
                <w:sz w:val="22"/>
              </w:rPr>
              <w:t>责任部门</w:t>
            </w:r>
          </w:p>
        </w:tc>
        <w:tc>
          <w:tcPr>
            <w:tcW w:w="651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1A2A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运维部、业务部门（需求方）</w:t>
            </w:r>
          </w:p>
        </w:tc>
      </w:tr>
    </w:tbl>
    <w:p w14:paraId="26B3C377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9" w:name="_Toc26371"/>
      <w:bookmarkStart w:id="20" w:name="heading_8"/>
      <w:r>
        <w:t>服务部署与实施</w:t>
      </w:r>
      <w:bookmarkEnd w:id="19"/>
      <w:bookmarkEnd w:id="20"/>
    </w:p>
    <w:p w14:paraId="7CE0C9B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21" w:name="_Toc28457"/>
      <w:r>
        <w:rPr>
          <w:rFonts w:hint="eastAsia"/>
          <w:lang w:val="en-US" w:eastAsia="zh-CN"/>
        </w:rPr>
        <w:t xml:space="preserve"> </w:t>
      </w:r>
      <w:r>
        <w:t>服务部署与实施活动表</w:t>
      </w:r>
      <w:bookmarkEnd w:id="21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55"/>
        <w:gridCol w:w="7267"/>
      </w:tblGrid>
      <w:tr w14:paraId="1563EB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5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1B608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活动项</w:t>
            </w:r>
          </w:p>
        </w:tc>
        <w:tc>
          <w:tcPr>
            <w:tcW w:w="726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DA70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内容</w:t>
            </w:r>
          </w:p>
        </w:tc>
      </w:tr>
      <w:tr w14:paraId="30B22D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5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7CF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b/>
                <w:sz w:val="22"/>
              </w:rPr>
              <w:t>核心目标</w:t>
            </w:r>
          </w:p>
        </w:tc>
        <w:tc>
          <w:tcPr>
            <w:tcW w:w="72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11954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将规划阶段制定的方案全面落地，配齐运维服务所需的人员、工具与各类资源</w:t>
            </w:r>
          </w:p>
        </w:tc>
      </w:tr>
      <w:tr w14:paraId="7F79CD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5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2E02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b/>
                <w:sz w:val="22"/>
              </w:rPr>
              <w:t>关键活动</w:t>
            </w:r>
          </w:p>
        </w:tc>
        <w:tc>
          <w:tcPr>
            <w:tcW w:w="72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4173A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组建专业运维团队，明确各成员的岗位职责与工作分工；</w:t>
            </w:r>
          </w:p>
          <w:p w14:paraId="3CF3C8DF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部署监控系统、故障管理工具等必要的技术支撑工具；</w:t>
            </w:r>
          </w:p>
          <w:p w14:paraId="5B92E7A6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制定详细的流程操作规范，并组织团队开展专项培训；</w:t>
            </w:r>
          </w:p>
          <w:p w14:paraId="69353A5B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完成硬件设备、软件系统、网络环境等服务资源的配置与调试。</w:t>
            </w:r>
          </w:p>
        </w:tc>
      </w:tr>
      <w:tr w14:paraId="2E327B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5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3016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b/>
                <w:sz w:val="22"/>
              </w:rPr>
              <w:t>输入</w:t>
            </w:r>
          </w:p>
        </w:tc>
        <w:tc>
          <w:tcPr>
            <w:tcW w:w="72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930BC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服务架构设计方案、资源配置清单、人员岗位说明书</w:t>
            </w:r>
          </w:p>
        </w:tc>
      </w:tr>
      <w:tr w14:paraId="6DB77C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5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8F3F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b/>
                <w:sz w:val="22"/>
              </w:rPr>
              <w:t>输出</w:t>
            </w:r>
          </w:p>
        </w:tc>
        <w:tc>
          <w:tcPr>
            <w:tcW w:w="72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2E40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团队组建方案、工具部署报告、流程操作规范手册、资源配置清单</w:t>
            </w:r>
          </w:p>
        </w:tc>
      </w:tr>
      <w:tr w14:paraId="2CDAE7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5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3590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b/>
                <w:sz w:val="22"/>
              </w:rPr>
              <w:t>责任部门</w:t>
            </w:r>
          </w:p>
        </w:tc>
        <w:tc>
          <w:tcPr>
            <w:tcW w:w="72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BFB8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运维部、研发部、综合部</w:t>
            </w:r>
          </w:p>
        </w:tc>
      </w:tr>
    </w:tbl>
    <w:p w14:paraId="40782B3D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2" w:name="heading_9"/>
      <w:bookmarkStart w:id="23" w:name="_Toc5033"/>
      <w:r>
        <w:t>服务运营与管理</w:t>
      </w:r>
      <w:bookmarkEnd w:id="22"/>
      <w:bookmarkEnd w:id="23"/>
    </w:p>
    <w:p w14:paraId="7DFB1BE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24" w:name="_Toc21806"/>
      <w:r>
        <w:rPr>
          <w:rFonts w:hint="eastAsia"/>
          <w:lang w:val="en-US" w:eastAsia="zh-CN"/>
        </w:rPr>
        <w:t xml:space="preserve">  </w:t>
      </w:r>
      <w:r>
        <w:t>服务运营与管理活动表</w:t>
      </w:r>
      <w:bookmarkEnd w:id="24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3"/>
        <w:gridCol w:w="7339"/>
      </w:tblGrid>
      <w:tr w14:paraId="67A0AB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8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26A6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jc w:val="center"/>
              <w:textAlignment w:val="baseline"/>
            </w:pPr>
            <w:r>
              <w:t>活动项</w:t>
            </w:r>
          </w:p>
        </w:tc>
        <w:tc>
          <w:tcPr>
            <w:tcW w:w="733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0EED4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</w:pPr>
            <w:r>
              <w:t>内容</w:t>
            </w:r>
          </w:p>
        </w:tc>
      </w:tr>
      <w:tr w14:paraId="043436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8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AFB6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b/>
                <w:sz w:val="22"/>
              </w:rPr>
              <w:t>核心目标</w:t>
            </w:r>
          </w:p>
        </w:tc>
        <w:tc>
          <w:tcPr>
            <w:tcW w:w="73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0525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严格按照SLA约定提供稳定、高效的运维服务，保障IT系统持续正常运行</w:t>
            </w:r>
          </w:p>
        </w:tc>
      </w:tr>
      <w:tr w14:paraId="019C09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8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89AA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b/>
                <w:sz w:val="22"/>
              </w:rPr>
              <w:t>关键活动</w:t>
            </w:r>
          </w:p>
        </w:tc>
        <w:tc>
          <w:tcPr>
            <w:tcW w:w="73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6C59C8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常态化开展系统巡检、故障排查与处理、补丁更新及配置管理工作；</w:t>
            </w:r>
          </w:p>
          <w:p w14:paraId="7DF9F9D4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及时响应并处理用户提出的各类服务请求；</w:t>
            </w:r>
          </w:p>
          <w:p w14:paraId="54FB2069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做好业务部门与供应商之间的协调沟通，规范管理服务合同；</w:t>
            </w:r>
          </w:p>
          <w:p w14:paraId="2394AFC9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执行变更管理、发布管理、配置管理等核心运维流程。</w:t>
            </w:r>
          </w:p>
        </w:tc>
      </w:tr>
      <w:tr w14:paraId="2850E5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8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9CC3A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b/>
                <w:sz w:val="22"/>
              </w:rPr>
              <w:t>输入</w:t>
            </w:r>
          </w:p>
        </w:tc>
        <w:tc>
          <w:tcPr>
            <w:tcW w:w="73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834A1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SLA约定、事件记录、变更请求、配置信息</w:t>
            </w:r>
          </w:p>
        </w:tc>
      </w:tr>
      <w:tr w14:paraId="38ACCD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8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B79A6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b/>
                <w:sz w:val="22"/>
              </w:rPr>
              <w:t>输出</w:t>
            </w:r>
          </w:p>
        </w:tc>
        <w:tc>
          <w:tcPr>
            <w:tcW w:w="73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7DDC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运维操作记录表、故障处理报告、服务请求处理台账、合同管理报告</w:t>
            </w:r>
          </w:p>
        </w:tc>
      </w:tr>
      <w:tr w14:paraId="24B285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8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512D1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b/>
                <w:sz w:val="22"/>
              </w:rPr>
              <w:t>责任部门</w:t>
            </w:r>
          </w:p>
        </w:tc>
        <w:tc>
          <w:tcPr>
            <w:tcW w:w="733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986B0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运维部、研发部</w:t>
            </w:r>
          </w:p>
        </w:tc>
      </w:tr>
    </w:tbl>
    <w:p w14:paraId="51255F23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5" w:name="heading_10"/>
      <w:bookmarkStart w:id="26" w:name="_Toc31576"/>
      <w:r>
        <w:t>服务监控与改进</w:t>
      </w:r>
      <w:bookmarkEnd w:id="25"/>
      <w:bookmarkEnd w:id="26"/>
    </w:p>
    <w:p w14:paraId="7C03241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bookmarkStart w:id="27" w:name="_Toc19524"/>
      <w:r>
        <w:rPr>
          <w:rFonts w:hint="eastAsia"/>
          <w:lang w:val="en-US" w:eastAsia="zh-CN"/>
        </w:rPr>
        <w:t xml:space="preserve"> </w:t>
      </w:r>
      <w:r>
        <w:t>服务监控与改进活动表</w:t>
      </w:r>
      <w:bookmarkEnd w:id="27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59"/>
        <w:gridCol w:w="7063"/>
      </w:tblGrid>
      <w:tr w14:paraId="695846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5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79DDA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活动项</w:t>
            </w:r>
          </w:p>
        </w:tc>
        <w:tc>
          <w:tcPr>
            <w:tcW w:w="706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368D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内容</w:t>
            </w:r>
          </w:p>
        </w:tc>
      </w:tr>
      <w:tr w14:paraId="6F7D84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5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E88D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b/>
                <w:sz w:val="22"/>
              </w:rPr>
              <w:t>核心目标</w:t>
            </w:r>
          </w:p>
        </w:tc>
        <w:tc>
          <w:tcPr>
            <w:tcW w:w="706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CFBA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持续监控运维服务全过程，及时发现问题并推动优化，不断提升服务水平</w:t>
            </w:r>
          </w:p>
        </w:tc>
      </w:tr>
      <w:tr w14:paraId="008EB2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5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AF14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b/>
                <w:sz w:val="22"/>
              </w:rPr>
              <w:t>关键活动</w:t>
            </w:r>
          </w:p>
        </w:tc>
        <w:tc>
          <w:tcPr>
            <w:tcW w:w="706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E50C62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建立覆盖服务质量、系统性能、数据安全等维度的监控指标体系；</w:t>
            </w:r>
          </w:p>
          <w:p w14:paraId="7B046CD2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定期收集、整理并分析监控数据，生成详细的监控报告；</w:t>
            </w:r>
          </w:p>
          <w:p w14:paraId="38CD5B7B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组织开展服务质量评审会议，制定针对性改进计划并跟踪落实；</w:t>
            </w:r>
          </w:p>
          <w:p w14:paraId="5E3CD30A">
            <w:pPr>
              <w:pStyle w:val="32"/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根据业务需求变化及服务执行情况，评估并调整SLA内容。</w:t>
            </w:r>
          </w:p>
        </w:tc>
      </w:tr>
      <w:tr w14:paraId="2860C7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5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E04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b/>
                <w:sz w:val="22"/>
              </w:rPr>
              <w:t>输入</w:t>
            </w:r>
          </w:p>
        </w:tc>
        <w:tc>
          <w:tcPr>
            <w:tcW w:w="706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6671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KPI数据、监控数据、事件记录、客户反馈</w:t>
            </w:r>
          </w:p>
        </w:tc>
      </w:tr>
      <w:tr w14:paraId="4A9857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5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360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b/>
                <w:sz w:val="22"/>
              </w:rPr>
              <w:t>输出</w:t>
            </w:r>
          </w:p>
        </w:tc>
        <w:tc>
          <w:tcPr>
            <w:tcW w:w="706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8E2E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监控指标体系文件、服务监控报告、服务改进计划、SLA评估调整报告</w:t>
            </w:r>
          </w:p>
        </w:tc>
      </w:tr>
      <w:tr w14:paraId="24AD45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5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A4E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b/>
                <w:sz w:val="22"/>
              </w:rPr>
              <w:t>责任部门</w:t>
            </w:r>
          </w:p>
        </w:tc>
        <w:tc>
          <w:tcPr>
            <w:tcW w:w="706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5B3F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运维部、产品质量部</w:t>
            </w:r>
          </w:p>
        </w:tc>
      </w:tr>
    </w:tbl>
    <w:p w14:paraId="1708D52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8" w:name="heading_11"/>
      <w:bookmarkStart w:id="29" w:name="_Toc8215"/>
      <w:r>
        <w:t>管理要求</w:t>
      </w:r>
      <w:bookmarkEnd w:id="28"/>
      <w:bookmarkEnd w:id="29"/>
    </w:p>
    <w:p w14:paraId="3B41C6F0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0" w:name="_Toc2775"/>
      <w:r>
        <w:rPr>
          <w:rFonts w:hint="eastAsia"/>
          <w:lang w:val="en-US" w:eastAsia="zh-CN"/>
        </w:rPr>
        <w:t xml:space="preserve"> </w:t>
      </w:r>
      <w:r>
        <w:t>过程框架管理要求表</w:t>
      </w:r>
      <w:bookmarkEnd w:id="30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38"/>
        <w:gridCol w:w="7784"/>
      </w:tblGrid>
      <w:tr w14:paraId="0EF6F1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3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E4DC4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778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E330D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管理要求</w:t>
            </w:r>
          </w:p>
        </w:tc>
      </w:tr>
      <w:tr w14:paraId="71BC39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6E2EC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7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99753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各部门及相关人员必须严格遵守本制度规定，规范开展各项工作</w:t>
            </w:r>
          </w:p>
        </w:tc>
      </w:tr>
      <w:tr w14:paraId="4D0D38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E8E66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7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94CFA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运维服务过程中产生的所有记录、报告需保证真实、完整、准确，并按公司规定分类存档</w:t>
            </w:r>
          </w:p>
        </w:tc>
      </w:tr>
      <w:tr w14:paraId="56839B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8E90E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7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F6A0B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定期对运维服务过程开展审计与评估工作，发现问题立即启动整改流程，确保服务持续合规</w:t>
            </w:r>
          </w:p>
        </w:tc>
      </w:tr>
      <w:tr w14:paraId="45652D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7E791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7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91A16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过程框架的建立和调整需经过评审和批准，确保与ITSS标准要求一致</w:t>
            </w:r>
          </w:p>
        </w:tc>
      </w:tr>
      <w:tr w14:paraId="3E015A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C7986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5</w:t>
            </w:r>
          </w:p>
        </w:tc>
        <w:tc>
          <w:tcPr>
            <w:tcW w:w="778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793A5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各过程的执行情况应纳入月度服务报告，定期向管理层汇报</w:t>
            </w:r>
          </w:p>
        </w:tc>
      </w:tr>
    </w:tbl>
    <w:p w14:paraId="478CB043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1" w:name="heading_12"/>
      <w:bookmarkStart w:id="32" w:name="_Toc28773"/>
      <w:r>
        <w:t>奖惩机制</w:t>
      </w:r>
      <w:bookmarkEnd w:id="31"/>
      <w:bookmarkEnd w:id="32"/>
    </w:p>
    <w:p w14:paraId="6672272F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3" w:name="_Toc7602"/>
      <w:r>
        <w:rPr>
          <w:rFonts w:hint="eastAsia"/>
          <w:lang w:val="en-US" w:eastAsia="zh-CN"/>
        </w:rPr>
        <w:t xml:space="preserve">  </w:t>
      </w:r>
      <w:r>
        <w:t>过程框架奖惩机制表</w:t>
      </w:r>
      <w:bookmarkEnd w:id="33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37"/>
        <w:gridCol w:w="7785"/>
      </w:tblGrid>
      <w:tr w14:paraId="114B32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F7F1C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778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9CE5A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256693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1041B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奖励</w:t>
            </w:r>
          </w:p>
        </w:tc>
        <w:tc>
          <w:tcPr>
            <w:tcW w:w="778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FD718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对在提升运维服务质量、提高服务效率等方面有突出贡献的部门或个人，公司将予以公开表彰并给予相应奖励</w:t>
            </w:r>
          </w:p>
        </w:tc>
      </w:tr>
      <w:tr w14:paraId="510CE2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936A8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惩罚</w:t>
            </w:r>
          </w:p>
        </w:tc>
        <w:tc>
          <w:tcPr>
            <w:tcW w:w="77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3173D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对违反本制度规定，导致服务质量下降、造成公司损失的部门或个人，按公司相关管理规定予以处罚</w:t>
            </w:r>
          </w:p>
        </w:tc>
      </w:tr>
    </w:tbl>
    <w:p w14:paraId="523E30B7">
      <w:pPr>
        <w:rPr>
          <w:rFonts w:hint="default"/>
          <w:lang w:val="en-US" w:eastAsia="zh-CN"/>
        </w:rPr>
      </w:pPr>
      <w:bookmarkStart w:id="34" w:name="_Toc251"/>
      <w:bookmarkStart w:id="35" w:name="_Toc3590"/>
      <w:r>
        <w:rPr>
          <w:rFonts w:hint="default"/>
          <w:lang w:val="en-US" w:eastAsia="zh-CN"/>
        </w:rPr>
        <w:br w:type="page"/>
      </w:r>
    </w:p>
    <w:p w14:paraId="784F29D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KPI指标</w:t>
      </w:r>
      <w:bookmarkEnd w:id="34"/>
      <w:bookmarkEnd w:id="35"/>
    </w:p>
    <w:p w14:paraId="5FC8E1B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6" w:name="_Toc21283"/>
      <w:r>
        <w:rPr>
          <w:rFonts w:hint="default"/>
          <w:lang w:val="en-US" w:eastAsia="zh-CN"/>
        </w:rPr>
        <w:t xml:space="preserve"> KPI指标表</w:t>
      </w:r>
      <w:bookmarkEnd w:id="36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24"/>
        <w:gridCol w:w="3587"/>
        <w:gridCol w:w="1099"/>
        <w:gridCol w:w="1312"/>
      </w:tblGrid>
      <w:tr w14:paraId="599D55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52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903890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指标</w:t>
            </w: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名称</w:t>
            </w:r>
          </w:p>
        </w:tc>
        <w:tc>
          <w:tcPr>
            <w:tcW w:w="358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A38AB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指标计算</w:t>
            </w: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方式</w:t>
            </w:r>
          </w:p>
        </w:tc>
        <w:tc>
          <w:tcPr>
            <w:tcW w:w="109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8D2A7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目标值</w:t>
            </w:r>
          </w:p>
        </w:tc>
        <w:tc>
          <w:tcPr>
            <w:tcW w:w="131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A81F1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考核频次</w:t>
            </w:r>
          </w:p>
        </w:tc>
      </w:tr>
      <w:tr w14:paraId="5BC1ED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52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1498A2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过程框架评价次数</w:t>
            </w:r>
          </w:p>
        </w:tc>
        <w:tc>
          <w:tcPr>
            <w:tcW w:w="358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CAE2E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年度内过程框架评价次数统计</w:t>
            </w:r>
          </w:p>
        </w:tc>
        <w:tc>
          <w:tcPr>
            <w:tcW w:w="109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21C2C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≥</w:t>
            </w:r>
            <w:r>
              <w:rPr>
                <w:rFonts w:hint="eastAsia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1次</w:t>
            </w:r>
          </w:p>
        </w:tc>
        <w:tc>
          <w:tcPr>
            <w:tcW w:w="131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242BC1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年度</w:t>
            </w:r>
          </w:p>
        </w:tc>
      </w:tr>
    </w:tbl>
    <w:p w14:paraId="6EAB655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 w14:paraId="6DCF954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7" w:name="_Toc27382"/>
      <w:bookmarkStart w:id="38" w:name="heading_35"/>
      <w:bookmarkStart w:id="39" w:name="_Toc21034"/>
      <w:r>
        <w:t>输出的文件及记录</w:t>
      </w:r>
      <w:bookmarkEnd w:id="37"/>
      <w:bookmarkEnd w:id="38"/>
      <w:bookmarkEnd w:id="39"/>
    </w:p>
    <w:p w14:paraId="4AE317C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0" w:name="_Toc16410"/>
      <w:bookmarkStart w:id="41" w:name="_Toc1810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输出文件和记录表</w:t>
      </w:r>
      <w:bookmarkEnd w:id="40"/>
      <w:bookmarkEnd w:id="41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137"/>
        <w:gridCol w:w="2385"/>
      </w:tblGrid>
      <w:tr w14:paraId="105433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1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1BF18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文件和记录</w:t>
            </w:r>
          </w:p>
        </w:tc>
        <w:tc>
          <w:tcPr>
            <w:tcW w:w="238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0D7A9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责任部门</w:t>
            </w:r>
          </w:p>
        </w:tc>
      </w:tr>
      <w:tr w14:paraId="6F42FB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1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29CBB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《过程框架设计方案》</w:t>
            </w:r>
          </w:p>
        </w:tc>
        <w:tc>
          <w:tcPr>
            <w:tcW w:w="238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B18E9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运维部</w:t>
            </w:r>
          </w:p>
        </w:tc>
      </w:tr>
      <w:tr w14:paraId="2E4C03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1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C82C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《过程框架设计需求报告》</w:t>
            </w:r>
          </w:p>
        </w:tc>
        <w:tc>
          <w:tcPr>
            <w:tcW w:w="238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3D20D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运维部</w:t>
            </w:r>
          </w:p>
        </w:tc>
      </w:tr>
      <w:tr w14:paraId="6B496C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1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086E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《过程框架评审记录》</w:t>
            </w:r>
          </w:p>
        </w:tc>
        <w:tc>
          <w:tcPr>
            <w:tcW w:w="238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5F11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产品质量部</w:t>
            </w:r>
          </w:p>
        </w:tc>
      </w:tr>
      <w:tr w14:paraId="7D96F6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1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E55C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《过程框架改进计划》</w:t>
            </w:r>
          </w:p>
        </w:tc>
        <w:tc>
          <w:tcPr>
            <w:tcW w:w="23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E46C3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运维部</w:t>
            </w:r>
          </w:p>
        </w:tc>
      </w:tr>
    </w:tbl>
    <w:p w14:paraId="0E96423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6C9E49"/>
    <w:multiLevelType w:val="singleLevel"/>
    <w:tmpl w:val="8E6C9E49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926CAB3A"/>
    <w:multiLevelType w:val="singleLevel"/>
    <w:tmpl w:val="926CAB3A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94F59E07"/>
    <w:multiLevelType w:val="singleLevel"/>
    <w:tmpl w:val="94F59E07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1E2F6DCD"/>
    <w:multiLevelType w:val="singleLevel"/>
    <w:tmpl w:val="1E2F6DCD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5A3E9F97"/>
    <w:multiLevelType w:val="singleLevel"/>
    <w:tmpl w:val="5A3E9F97"/>
    <w:lvl w:ilvl="0" w:tentative="0">
      <w:start w:val="1"/>
      <w:numFmt w:val="decimal"/>
      <w:suff w:val="nothing"/>
      <w:lvlText w:val="（%1）"/>
      <w:lvlJc w:val="left"/>
    </w:lvl>
  </w:abstractNum>
  <w:abstractNum w:abstractNumId="6">
    <w:nsid w:val="6A1658FB"/>
    <w:multiLevelType w:val="singleLevel"/>
    <w:tmpl w:val="6A1658FB"/>
    <w:lvl w:ilvl="0" w:tentative="0">
      <w:start w:val="1"/>
      <w:numFmt w:val="decimal"/>
      <w:suff w:val="nothing"/>
      <w:lvlText w:val="（%1）"/>
      <w:lvlJc w:val="left"/>
    </w:lvl>
  </w:abstractNum>
  <w:abstractNum w:abstractNumId="7">
    <w:nsid w:val="6EECEBCB"/>
    <w:multiLevelType w:val="singleLevel"/>
    <w:tmpl w:val="6EECEBCB"/>
    <w:lvl w:ilvl="0" w:tentative="0">
      <w:start w:val="1"/>
      <w:numFmt w:val="decimal"/>
      <w:suff w:val="nothing"/>
      <w:lvlText w:val="（%1）"/>
      <w:lvlJc w:val="left"/>
    </w:lvl>
  </w:abstractNum>
  <w:abstractNum w:abstractNumId="8">
    <w:nsid w:val="7799E57F"/>
    <w:multiLevelType w:val="singleLevel"/>
    <w:tmpl w:val="7799E57F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7"/>
  </w:num>
  <w:num w:numId="3">
    <w:abstractNumId w:val="8"/>
  </w:num>
  <w:num w:numId="4">
    <w:abstractNumId w:val="2"/>
  </w:num>
  <w:num w:numId="5">
    <w:abstractNumId w:val="0"/>
  </w:num>
  <w:num w:numId="6">
    <w:abstractNumId w:val="6"/>
  </w:num>
  <w:num w:numId="7">
    <w:abstractNumId w:val="5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9BF2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7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8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9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0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1">
    <w:name w:val="柴_标题1"/>
    <w:basedOn w:val="2"/>
    <w:next w:val="32"/>
    <w:link w:val="41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2">
    <w:name w:val="柴_正文"/>
    <w:basedOn w:val="12"/>
    <w:link w:val="44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3">
    <w:name w:val="柴_标题2"/>
    <w:basedOn w:val="3"/>
    <w:next w:val="32"/>
    <w:link w:val="4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4">
    <w:name w:val="柴_标题3"/>
    <w:basedOn w:val="4"/>
    <w:next w:val="32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5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6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9">
    <w:name w:val="Compact"/>
    <w:basedOn w:val="12"/>
    <w:qFormat/>
    <w:uiPriority w:val="0"/>
    <w:pPr>
      <w:spacing w:before="36" w:after="36"/>
    </w:pPr>
  </w:style>
  <w:style w:type="table" w:customStyle="1" w:styleId="4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1">
    <w:name w:val="柴_标题1 Char"/>
    <w:link w:val="31"/>
    <w:qFormat/>
    <w:uiPriority w:val="0"/>
    <w:rPr>
      <w:rFonts w:ascii="Arial" w:hAnsi="Arial" w:eastAsia="宋体"/>
      <w:sz w:val="32"/>
    </w:rPr>
  </w:style>
  <w:style w:type="paragraph" w:customStyle="1" w:styleId="42">
    <w:name w:val="柴_正文_无缩进"/>
    <w:basedOn w:val="1"/>
    <w:link w:val="46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3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4">
    <w:name w:val="柴_正文 Char"/>
    <w:link w:val="32"/>
    <w:qFormat/>
    <w:uiPriority w:val="0"/>
    <w:rPr>
      <w:rFonts w:ascii="Arial" w:hAnsi="Arial" w:eastAsia="宋体"/>
      <w:sz w:val="24"/>
      <w:lang w:eastAsia="zh-CN"/>
    </w:rPr>
  </w:style>
  <w:style w:type="table" w:customStyle="1" w:styleId="45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6">
    <w:name w:val="柴_正文_无缩进 Char"/>
    <w:link w:val="42"/>
    <w:qFormat/>
    <w:uiPriority w:val="0"/>
    <w:rPr>
      <w:rFonts w:ascii="Arial" w:hAnsi="Arial"/>
      <w:sz w:val="24"/>
      <w:lang w:eastAsia="zh-CN"/>
    </w:rPr>
  </w:style>
  <w:style w:type="character" w:customStyle="1" w:styleId="47">
    <w:name w:val="柴_标题2 Char"/>
    <w:link w:val="33"/>
    <w:qFormat/>
    <w:uiPriority w:val="0"/>
    <w:rPr>
      <w:rFonts w:ascii="Arial" w:hAnsi="Arial" w:eastAsia="宋体"/>
      <w:sz w:val="28"/>
    </w:rPr>
  </w:style>
  <w:style w:type="character" w:customStyle="1" w:styleId="48">
    <w:name w:val="柴_题注 Char"/>
    <w:link w:val="49"/>
    <w:qFormat/>
    <w:uiPriority w:val="0"/>
  </w:style>
  <w:style w:type="paragraph" w:customStyle="1" w:styleId="49">
    <w:name w:val="柴_题注"/>
    <w:basedOn w:val="19"/>
    <w:link w:val="48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2023</Words>
  <Characters>2182</Characters>
  <Lines>0</Lines>
  <Paragraphs>0</Paragraphs>
  <TotalTime>2</TotalTime>
  <ScaleCrop>false</ScaleCrop>
  <LinksUpToDate>false</LinksUpToDate>
  <CharactersWithSpaces>2271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2026-06-11T02:46:15Z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eyJoZGlkIjoiZWI4NmUzMGY2ODA3MDc4ZTFlMjZjZTAyMjM0NmVmODgiLCJ1c2VySWQiOiIxMDc1MzgyOSJ9</vt:lpwstr>
  </property>
</Properties>
</file>