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运维服务容量管理制度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HFSJ-ITSS-0610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_Toc12852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_Toc12852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_Toc15465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过程定义</w:t>
          </w:r>
          <w:r>
            <w:tab/>
          </w:r>
          <w:r>
            <w:fldChar w:fldCharType="begin"/>
          </w:r>
          <w:r>
            <w:instrText xml:space="preserve"> PAGEREF _Toc15465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_Toc2112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_Toc2112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_Toc29066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过程负责人</w:t>
          </w:r>
          <w:r>
            <w:tab/>
          </w:r>
          <w:r>
            <w:fldChar w:fldCharType="begin"/>
          </w:r>
          <w:r>
            <w:instrText xml:space="preserve"> PAGEREF _Toc29066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_Toc27308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主要输入</w:t>
          </w:r>
          <w:r>
            <w:tab/>
          </w:r>
          <w:r>
            <w:fldChar w:fldCharType="begin"/>
          </w:r>
          <w:r>
            <w:instrText xml:space="preserve"> PAGEREF _Toc27308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_Toc19960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主要输出</w:t>
          </w:r>
          <w:r>
            <w:tab/>
          </w:r>
          <w:r>
            <w:fldChar w:fldCharType="begin"/>
          </w:r>
          <w:r>
            <w:instrText xml:space="preserve"> PAGEREF _Toc19960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_Toc12016 </w:instrText>
          </w:r>
          <w:r>
            <w:fldChar w:fldCharType="separate"/>
          </w:r>
          <w:r>
            <w:rPr>
              <w:rFonts w:hint="default"/>
            </w:rPr>
            <w:t xml:space="preserve">2.5. </w:t>
          </w:r>
          <w:r>
            <w:t>角色和职责权限</w:t>
          </w:r>
          <w:r>
            <w:tab/>
          </w:r>
          <w:r>
            <w:fldChar w:fldCharType="begin"/>
          </w:r>
          <w:r>
            <w:instrText xml:space="preserve"> PAGEREF _Toc12016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_Toc18079 </w:instrText>
          </w:r>
          <w:r>
            <w:fldChar w:fldCharType="separate"/>
          </w:r>
          <w:r>
            <w:rPr>
              <w:rFonts w:hint="default"/>
            </w:rPr>
            <w:t xml:space="preserve">2.5.1. </w:t>
          </w:r>
          <w:r>
            <w:t>运维部经理（容量管理负责人）</w:t>
          </w:r>
          <w:r>
            <w:tab/>
          </w:r>
          <w:r>
            <w:fldChar w:fldCharType="begin"/>
          </w:r>
          <w:r>
            <w:instrText xml:space="preserve"> PAGEREF _Toc18079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_Toc32312 </w:instrText>
          </w:r>
          <w:r>
            <w:fldChar w:fldCharType="separate"/>
          </w:r>
          <w:r>
            <w:rPr>
              <w:rFonts w:hint="default"/>
            </w:rPr>
            <w:t xml:space="preserve">2.5.2. </w:t>
          </w:r>
          <w:r>
            <w:t>容量监控人员</w:t>
          </w:r>
          <w:r>
            <w:tab/>
          </w:r>
          <w:r>
            <w:fldChar w:fldCharType="begin"/>
          </w:r>
          <w:r>
            <w:instrText xml:space="preserve"> PAGEREF _Toc32312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_Toc4140 </w:instrText>
          </w:r>
          <w:r>
            <w:fldChar w:fldCharType="separate"/>
          </w:r>
          <w:r>
            <w:rPr>
              <w:rFonts w:hint="default"/>
            </w:rPr>
            <w:t xml:space="preserve">2.5.3. </w:t>
          </w:r>
          <w:r>
            <w:t>研发部经理</w:t>
          </w:r>
          <w:r>
            <w:tab/>
          </w:r>
          <w:r>
            <w:fldChar w:fldCharType="begin"/>
          </w:r>
          <w:r>
            <w:instrText xml:space="preserve"> PAGEREF _Toc4140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_Toc20994 </w:instrText>
          </w:r>
          <w:r>
            <w:fldChar w:fldCharType="separate"/>
          </w:r>
          <w:r>
            <w:rPr>
              <w:rFonts w:hint="default"/>
            </w:rPr>
            <w:t xml:space="preserve">2.5.4. </w:t>
          </w:r>
          <w:r>
            <w:t>产品质量部</w:t>
          </w:r>
          <w:r>
            <w:tab/>
          </w:r>
          <w:r>
            <w:fldChar w:fldCharType="begin"/>
          </w:r>
          <w:r>
            <w:instrText xml:space="preserve"> PAGEREF _Toc20994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_Toc32671 </w:instrText>
          </w:r>
          <w:r>
            <w:fldChar w:fldCharType="separate"/>
          </w:r>
          <w:r>
            <w:rPr>
              <w:rFonts w:hint="default"/>
            </w:rPr>
            <w:t xml:space="preserve">2.6. </w:t>
          </w:r>
          <w:r>
            <w:t>过程重要控制点</w:t>
          </w:r>
          <w:r>
            <w:tab/>
          </w:r>
          <w:r>
            <w:fldChar w:fldCharType="begin"/>
          </w:r>
          <w:r>
            <w:instrText xml:space="preserve"> PAGEREF _Toc32671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_Toc20191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</w:t>
          </w:r>
          <w:r>
            <w:tab/>
          </w:r>
          <w:r>
            <w:fldChar w:fldCharType="begin"/>
          </w:r>
          <w:r>
            <w:instrText xml:space="preserve"> PAGEREF _Toc20191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_Toc1160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流程</w:t>
          </w:r>
          <w:r>
            <w:tab/>
          </w:r>
          <w:r>
            <w:fldChar w:fldCharType="begin"/>
          </w:r>
          <w:r>
            <w:instrText xml:space="preserve"> PAGEREF _Toc1160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_Toc13886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过程描述</w:t>
          </w:r>
          <w:r>
            <w:tab/>
          </w:r>
          <w:r>
            <w:fldChar w:fldCharType="begin"/>
          </w:r>
          <w:r>
            <w:instrText xml:space="preserve"> PAGEREF _Toc13886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_Toc12859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容量计划</w:t>
          </w:r>
          <w:r>
            <w:tab/>
          </w:r>
          <w:r>
            <w:fldChar w:fldCharType="begin"/>
          </w:r>
          <w:r>
            <w:instrText xml:space="preserve"> PAGEREF _Toc12859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_Toc12120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容量监控</w:t>
          </w:r>
          <w:r>
            <w:tab/>
          </w:r>
          <w:r>
            <w:fldChar w:fldCharType="begin"/>
          </w:r>
          <w:r>
            <w:instrText xml:space="preserve"> PAGEREF _Toc12120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_Toc14196 </w:instrText>
          </w:r>
          <w:r>
            <w:fldChar w:fldCharType="separate"/>
          </w:r>
          <w:r>
            <w:rPr>
              <w:rFonts w:hint="default"/>
            </w:rPr>
            <w:t xml:space="preserve">5.2.1. </w:t>
          </w:r>
          <w:r>
            <w:t>关键容量指标</w:t>
          </w:r>
          <w:r>
            <w:tab/>
          </w:r>
          <w:r>
            <w:fldChar w:fldCharType="begin"/>
          </w:r>
          <w:r>
            <w:instrText xml:space="preserve"> PAGEREF _Toc14196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_Toc26811 </w:instrText>
          </w:r>
          <w:r>
            <w:fldChar w:fldCharType="separate"/>
          </w:r>
          <w:r>
            <w:rPr>
              <w:rFonts w:hint="default"/>
            </w:rPr>
            <w:t xml:space="preserve">5.2.2. </w:t>
          </w:r>
          <w:r>
            <w:t>监控方式</w:t>
          </w:r>
          <w:r>
            <w:tab/>
          </w:r>
          <w:r>
            <w:fldChar w:fldCharType="begin"/>
          </w:r>
          <w:r>
            <w:instrText xml:space="preserve"> PAGEREF _Toc26811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_Toc24640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容量分析</w:t>
          </w:r>
          <w:r>
            <w:tab/>
          </w:r>
          <w:r>
            <w:fldChar w:fldCharType="begin"/>
          </w:r>
          <w:r>
            <w:instrText xml:space="preserve"> PAGEREF _Toc24640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_Toc24337 </w:instrText>
          </w:r>
          <w:r>
            <w:fldChar w:fldCharType="separate"/>
          </w:r>
          <w:r>
            <w:rPr>
              <w:rFonts w:hint="default"/>
            </w:rPr>
            <w:t xml:space="preserve">5.3.1. </w:t>
          </w:r>
          <w:r>
            <w:t>分析内容</w:t>
          </w:r>
          <w:r>
            <w:tab/>
          </w:r>
          <w:r>
            <w:fldChar w:fldCharType="begin"/>
          </w:r>
          <w:r>
            <w:instrText xml:space="preserve"> PAGEREF _Toc24337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_Toc23602 </w:instrText>
          </w:r>
          <w:r>
            <w:fldChar w:fldCharType="separate"/>
          </w:r>
          <w:r>
            <w:rPr>
              <w:rFonts w:hint="default"/>
            </w:rPr>
            <w:t xml:space="preserve">5.3.2. </w:t>
          </w:r>
          <w:r>
            <w:t>分析周期</w:t>
          </w:r>
          <w:r>
            <w:tab/>
          </w:r>
          <w:r>
            <w:fldChar w:fldCharType="begin"/>
          </w:r>
          <w:r>
            <w:instrText xml:space="preserve"> PAGEREF _Toc23602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_Toc15107 </w:instrText>
          </w:r>
          <w:r>
            <w:fldChar w:fldCharType="separate"/>
          </w:r>
          <w:r>
            <w:rPr>
              <w:rFonts w:hint="default"/>
            </w:rPr>
            <w:t xml:space="preserve">5.3.3. </w:t>
          </w:r>
          <w:r>
            <w:t>异常处理</w:t>
          </w:r>
          <w:r>
            <w:tab/>
          </w:r>
          <w:r>
            <w:fldChar w:fldCharType="begin"/>
          </w:r>
          <w:r>
            <w:instrText xml:space="preserve"> PAGEREF _Toc15107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_Toc4900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容量调整</w:t>
          </w:r>
          <w:r>
            <w:tab/>
          </w:r>
          <w:r>
            <w:fldChar w:fldCharType="begin"/>
          </w:r>
          <w:r>
            <w:instrText xml:space="preserve"> PAGEREF _Toc4900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_Toc1910 </w:instrText>
          </w:r>
          <w:r>
            <w:fldChar w:fldCharType="separate"/>
          </w:r>
          <w:r>
            <w:rPr>
              <w:rFonts w:hint="default"/>
            </w:rPr>
            <w:t xml:space="preserve">5.4.1. </w:t>
          </w:r>
          <w:r>
            <w:t>容量调整类型</w:t>
          </w:r>
          <w:r>
            <w:tab/>
          </w:r>
          <w:r>
            <w:fldChar w:fldCharType="begin"/>
          </w:r>
          <w:r>
            <w:instrText xml:space="preserve"> PAGEREF _Toc1910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_Toc25875 </w:instrText>
          </w:r>
          <w:r>
            <w:fldChar w:fldCharType="separate"/>
          </w:r>
          <w:r>
            <w:rPr>
              <w:rFonts w:hint="default"/>
            </w:rPr>
            <w:t xml:space="preserve">5.4.2. </w:t>
          </w:r>
          <w:r>
            <w:t>容量调整流程</w:t>
          </w:r>
          <w:r>
            <w:tab/>
          </w:r>
          <w:r>
            <w:fldChar w:fldCharType="begin"/>
          </w:r>
          <w:r>
            <w:instrText xml:space="preserve"> PAGEREF _Toc25875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_Toc19058 </w:instrText>
          </w:r>
          <w:r>
            <w:fldChar w:fldCharType="separate"/>
          </w:r>
          <w:r>
            <w:rPr>
              <w:rFonts w:hint="default"/>
            </w:rPr>
            <w:t xml:space="preserve">5.4.3. </w:t>
          </w:r>
          <w:r>
            <w:t>容量投资决策</w:t>
          </w:r>
          <w:r>
            <w:tab/>
          </w:r>
          <w:r>
            <w:fldChar w:fldCharType="begin"/>
          </w:r>
          <w:r>
            <w:instrText xml:space="preserve"> PAGEREF _Toc19058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_Toc21982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容量报告</w:t>
          </w:r>
          <w:r>
            <w:tab/>
          </w:r>
          <w:r>
            <w:fldChar w:fldCharType="begin"/>
          </w:r>
          <w:r>
            <w:instrText xml:space="preserve"> PAGEREF _Toc21982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_Toc7791 </w:instrText>
          </w:r>
          <w:r>
            <w:fldChar w:fldCharType="separate"/>
          </w:r>
          <w:r>
            <w:rPr>
              <w:rFonts w:hint="default"/>
            </w:rPr>
            <w:t xml:space="preserve">5.5.1. </w:t>
          </w:r>
          <w:r>
            <w:t>报告内容</w:t>
          </w:r>
          <w:r>
            <w:tab/>
          </w:r>
          <w:r>
            <w:fldChar w:fldCharType="begin"/>
          </w:r>
          <w:r>
            <w:instrText xml:space="preserve"> PAGEREF _Toc7791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_Toc27627 </w:instrText>
          </w:r>
          <w:r>
            <w:fldChar w:fldCharType="separate"/>
          </w:r>
          <w:r>
            <w:rPr>
              <w:rFonts w:hint="default"/>
            </w:rPr>
            <w:t xml:space="preserve">5.5.2. </w:t>
          </w:r>
          <w:r>
            <w:t>报告周期</w:t>
          </w:r>
          <w:r>
            <w:tab/>
          </w:r>
          <w:r>
            <w:fldChar w:fldCharType="begin"/>
          </w:r>
          <w:r>
            <w:instrText xml:space="preserve"> PAGEREF _Toc27627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_Toc5855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_Toc5855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KPI指标</w:t>
          </w:r>
          <w:r>
            <w:tab/>
          </w:r>
          <w:r>
            <w:fldChar w:fldCharType="begin"/>
          </w:r>
          <w:r>
            <w:instrText xml:space="preserve"> PAGEREF _Toc251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_Toc21034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输出的文件及记录</w:t>
          </w:r>
          <w:r>
            <w:tab/>
          </w:r>
          <w:r>
            <w:fldChar w:fldCharType="begin"/>
          </w:r>
          <w:r>
            <w:instrText xml:space="preserve"> PAGEREF _Toc21034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_Toc8308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容量管理范围表</w:t>
      </w:r>
      <w:r>
        <w:tab/>
      </w:r>
      <w:r>
        <w:fldChar w:fldCharType="begin"/>
      </w:r>
      <w:r>
        <w:instrText xml:space="preserve"> PAGEREF _Toc8308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_Toc16061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容量输入清单</w:t>
      </w:r>
      <w:r>
        <w:tab/>
      </w:r>
      <w:r>
        <w:fldChar w:fldCharType="begin"/>
      </w:r>
      <w:r>
        <w:instrText xml:space="preserve"> PAGEREF _Toc16061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_Toc4630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t>容量输出清单</w:t>
      </w:r>
      <w:r>
        <w:tab/>
      </w:r>
      <w:r>
        <w:fldChar w:fldCharType="begin"/>
      </w:r>
      <w:r>
        <w:instrText xml:space="preserve"> PAGEREF _Toc4630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_Toc5058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容量监控岗位表</w:t>
      </w:r>
      <w:r>
        <w:tab/>
      </w:r>
      <w:r>
        <w:fldChar w:fldCharType="begin"/>
      </w:r>
      <w:r>
        <w:instrText xml:space="preserve"> PAGEREF _Toc5058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_Toc24894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容量监控指标表</w:t>
      </w:r>
      <w:r>
        <w:tab/>
      </w:r>
      <w:r>
        <w:fldChar w:fldCharType="begin"/>
      </w:r>
      <w:r>
        <w:instrText xml:space="preserve"> PAGEREF _Toc24894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_Toc20293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分析周期表</w:t>
      </w:r>
      <w:r>
        <w:tab/>
      </w:r>
      <w:r>
        <w:fldChar w:fldCharType="begin"/>
      </w:r>
      <w:r>
        <w:instrText xml:space="preserve"> PAGEREF _Toc20293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_Toc7601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容量调整类型表</w:t>
      </w:r>
      <w:r>
        <w:tab/>
      </w:r>
      <w:r>
        <w:fldChar w:fldCharType="begin"/>
      </w:r>
      <w:r>
        <w:instrText xml:space="preserve"> PAGEREF _Toc7601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_Toc7105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报告周期表</w:t>
      </w:r>
      <w:r>
        <w:tab/>
      </w:r>
      <w:r>
        <w:fldChar w:fldCharType="begin"/>
      </w:r>
      <w:r>
        <w:instrText xml:space="preserve"> PAGEREF _Toc7105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_Toc18262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_Toc18262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_Toc1810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_Toc24198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容量管理流程图</w:t>
      </w:r>
      <w:r>
        <w:tab/>
      </w:r>
      <w:r>
        <w:fldChar w:fldCharType="begin"/>
      </w:r>
      <w:r>
        <w:instrText xml:space="preserve"> PAGEREF _Toc24198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_Toc12852"/>
      <w:bookmarkStart w:id="2" w:name="heading_2"/>
      <w:bookmarkStart w:id="3" w:name="_Toc24159"/>
      <w:r>
        <w:t>目的</w:t>
      </w:r>
      <w:bookmarkEnd w:id="1"/>
      <w:bookmarkEnd w:id="2"/>
    </w:p>
    <w:p>
      <w:pPr>
        <w:pStyle w:val="a1"/>
        <w:bidi w:val="0"/>
      </w:pPr>
      <w:r>
        <w:t>本制度旨在对华风数据(深圳)有限公司（以下简称“公司”）运维服务中的IT基础设施和服务能力进行有效管理，确保：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当前和未来的IT服务能力能够满足业务需求；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以合理的成本实现服务级别目标；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及时发现和预防容量瓶颈，避免服务中断或性能下降；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为容量规划提供数据支持和决策依据。</w:t>
      </w:r>
    </w:p>
    <w:p>
      <w:pPr>
        <w:pStyle w:val="1"/>
        <w:bidi w:val="0"/>
      </w:pPr>
      <w:bookmarkStart w:id="4" w:name="_Toc15465"/>
      <w:bookmarkStart w:id="5" w:name="heading_3"/>
      <w:r>
        <w:t>过程定义</w:t>
      </w:r>
      <w:bookmarkEnd w:id="4"/>
      <w:bookmarkEnd w:id="5"/>
    </w:p>
    <w:p>
      <w:pPr>
        <w:pStyle w:val="a1"/>
        <w:bidi w:val="0"/>
      </w:pPr>
      <w:r>
        <w:t>容量管理是通过监控、分析、规划和调整，确保IT基础设施和服务能力与业务需求相匹配的过程。容量管理包括对服务器、存储、网络、数据库、应用系统等关键资源的容量监控和规划。</w:t>
      </w:r>
    </w:p>
    <w:p>
      <w:pPr>
        <w:pStyle w:val="2"/>
        <w:bidi w:val="0"/>
      </w:pPr>
      <w:bookmarkStart w:id="6" w:name="_Toc2112"/>
      <w:bookmarkStart w:id="7" w:name="heading_4"/>
      <w:r>
        <w:t>范围</w:t>
      </w:r>
      <w:bookmarkEnd w:id="6"/>
      <w:bookmarkEnd w:id="7"/>
    </w:p>
    <w:p>
      <w:pPr>
        <w:pStyle w:val="a1"/>
        <w:bidi w:val="0"/>
        <w:rPr>
          <w:rFonts w:hint="eastAsia"/>
          <w:lang w:val="en-US" w:eastAsia="zh-CN"/>
        </w:rPr>
      </w:pPr>
      <w:r>
        <w:t>容量管理范围包括公司运维服务所涉及的所有IT基础设施和服务组件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如表2-1所示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" w:name="_Toc830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容量管理范围表</w:t>
      </w:r>
      <w:bookmarkEnd w:id="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67"/>
        <w:gridCol w:w="2963"/>
        <w:gridCol w:w="419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6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类别</w:t>
            </w:r>
          </w:p>
        </w:tc>
        <w:tc>
          <w:tcPr>
            <w:tcW w:w="296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管理对象</w:t>
            </w:r>
          </w:p>
        </w:tc>
        <w:tc>
          <w:tcPr>
            <w:tcW w:w="419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计算资源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服务器、虚拟机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CPU使用率、内存使用率、负载均衡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存储资源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磁盘阵列、存储设备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磁盘使用率、I/O性能、存储容量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网络资源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交换机、路由器、防火墙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带宽利用率、连接数、网络延迟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数据库资源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数据库服务器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连接数、QPS、慢查询、表空间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应用系统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金蝶云星空、ERP系统等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并发用户数、响应时间、事务处理量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前端设备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收银机、扫码枪、打印机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设备在线率、响应时间</w:t>
            </w:r>
          </w:p>
        </w:tc>
      </w:tr>
    </w:tbl>
    <w:p>
      <w:pPr>
        <w:pStyle w:val="a1"/>
        <w:bidi w:val="0"/>
      </w:pPr>
      <w:r>
        <w:t>本制度适用于公司运维部、研发部及其他参与运维服务的相关部门。</w:t>
      </w:r>
    </w:p>
    <w:p>
      <w:pPr>
        <w:pStyle w:val="2"/>
        <w:bidi w:val="0"/>
      </w:pPr>
      <w:bookmarkStart w:id="9" w:name="heading_5"/>
      <w:bookmarkStart w:id="10" w:name="_Toc29066"/>
      <w:r>
        <w:t>过程负责人</w:t>
      </w:r>
      <w:bookmarkEnd w:id="9"/>
      <w:bookmarkEnd w:id="10"/>
    </w:p>
    <w:p>
      <w:pPr>
        <w:pStyle w:val="a1"/>
        <w:bidi w:val="0"/>
      </w:pPr>
      <w:r>
        <w:t>容量管理负责人：运维部经理</w:t>
      </w:r>
    </w:p>
    <w:p>
      <w:pPr>
        <w:pStyle w:val="2"/>
        <w:bidi w:val="0"/>
      </w:pPr>
      <w:bookmarkStart w:id="11" w:name="_Toc27308"/>
      <w:bookmarkStart w:id="12" w:name="heading_6"/>
      <w:r>
        <w:t>主要输入</w:t>
      </w:r>
      <w:bookmarkEnd w:id="11"/>
      <w:bookmarkEnd w:id="12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3" w:name="_Toc16061"/>
      <w:r>
        <w:rPr>
          <w:rFonts w:hint="default"/>
          <w:lang w:val="en-US" w:eastAsia="zh-CN"/>
        </w:rPr>
        <w:t xml:space="preserve"> </w:t>
      </w:r>
      <w:r>
        <w:t>容量输入清单</w:t>
      </w:r>
      <w:bookmarkEnd w:id="1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4417"/>
        <w:gridCol w:w="410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输入</w:t>
            </w:r>
          </w:p>
        </w:tc>
        <w:tc>
          <w:tcPr>
            <w:tcW w:w="41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来源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服务级别协议（SLA）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客户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业务发展规划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客户、管理层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服务合同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客户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监控数据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监控系统、巡检记录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性能告警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监控系统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事件和问题记录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事件管理、问题管理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变更计划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变更管理</w:t>
            </w:r>
          </w:p>
        </w:tc>
      </w:tr>
    </w:tbl>
    <w:p>
      <w:pPr>
        <w:pStyle w:val="2"/>
        <w:bidi w:val="0"/>
      </w:pPr>
      <w:bookmarkStart w:id="14" w:name="heading_7"/>
      <w:bookmarkStart w:id="15" w:name="_Toc19960"/>
      <w:r>
        <w:t>主要输出</w:t>
      </w:r>
      <w:bookmarkEnd w:id="14"/>
      <w:bookmarkEnd w:id="15"/>
    </w:p>
    <w:p>
      <w:pPr>
        <w:pStyle w:val="a3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6" w:name="_Toc4630"/>
      <w:r>
        <w:rPr>
          <w:rFonts w:hint="eastAsia"/>
          <w:lang w:val="en-US" w:eastAsia="zh-CN"/>
        </w:rPr>
        <w:t xml:space="preserve"> </w:t>
      </w:r>
      <w:r>
        <w:t>容量输出清单</w:t>
      </w:r>
      <w:bookmarkEnd w:id="1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982"/>
        <w:gridCol w:w="554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98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输出</w:t>
            </w:r>
          </w:p>
        </w:tc>
        <w:tc>
          <w:tcPr>
            <w:tcW w:w="554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去向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容量管理计划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运维部经理、研发部经理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容量监控报告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容量分析报告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运维部经理、产品质量部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容量调整建议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变更管理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容量规划报告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管理层、客户</w:t>
            </w:r>
          </w:p>
        </w:tc>
      </w:tr>
    </w:tbl>
    <w:p>
      <w:pPr>
        <w:pStyle w:val="2"/>
        <w:bidi w:val="0"/>
      </w:pPr>
      <w:bookmarkStart w:id="17" w:name="_Toc12016"/>
      <w:bookmarkStart w:id="18" w:name="heading_8"/>
      <w:r>
        <w:t>角色和职责权限</w:t>
      </w:r>
      <w:bookmarkEnd w:id="17"/>
      <w:bookmarkEnd w:id="18"/>
    </w:p>
    <w:p>
      <w:pPr>
        <w:pStyle w:val="3"/>
        <w:bidi w:val="0"/>
      </w:pPr>
      <w:bookmarkStart w:id="19" w:name="_Toc18079"/>
      <w:bookmarkStart w:id="20" w:name="heading_9"/>
      <w:r>
        <w:t>运维部经理（容量管理负责人）</w:t>
      </w:r>
      <w:bookmarkEnd w:id="19"/>
      <w:bookmarkEnd w:id="20"/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确定容量管理过程的衡量指标；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总体上管理和监控过程，建立容量管理过程实施、评估和持续优化机制；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负责本制度的制订、修正与管理；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定义并维护容量管理流程文件及所需要的记录模板；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管理容量管理流程的实施；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确保容量管理流程目标的实现；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识别容量管理过程中存在的问题并提出改进措施；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审批容量调整建议；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定期向管理层汇报容量状况和规划建议。</w:t>
      </w:r>
    </w:p>
    <w:p>
      <w:pPr>
        <w:pStyle w:val="3"/>
        <w:bidi w:val="0"/>
      </w:pPr>
      <w:bookmarkStart w:id="21" w:name="heading_10"/>
      <w:bookmarkStart w:id="22" w:name="_Toc32312"/>
      <w:r>
        <w:t>容量监控人员</w:t>
      </w:r>
      <w:bookmarkEnd w:id="21"/>
      <w:bookmarkEnd w:id="22"/>
    </w:p>
    <w:p>
      <w:pPr>
        <w:pStyle w:val="a1"/>
        <w:bidi w:val="0"/>
        <w:rPr>
          <w:rFonts w:hint="eastAsia"/>
          <w:lang w:val="en-US" w:eastAsia="zh-CN"/>
        </w:rPr>
      </w:pPr>
      <w:r>
        <w:t>容量监控工作由以下岗位承担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如表2-4所示</w:t>
      </w:r>
    </w:p>
    <w:p>
      <w:pPr>
        <w:pStyle w:val="a3"/>
        <w:bidi w:val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3" w:name="_Toc5058"/>
      <w:r>
        <w:rPr>
          <w:rFonts w:hint="eastAsia"/>
          <w:lang w:val="en-US" w:eastAsia="zh-CN"/>
        </w:rPr>
        <w:t xml:space="preserve"> 容量监控岗位表</w:t>
      </w:r>
      <w:bookmarkEnd w:id="2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131"/>
        <w:gridCol w:w="1333"/>
        <w:gridCol w:w="505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13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3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50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硬件运维工程师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5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负责服务器、存储、网络设备的容量监控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软件运维工程师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5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负责数据库、应用系统的容量监控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技术支持工程师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50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负责复杂系统的容量分析和预警</w:t>
            </w:r>
          </w:p>
        </w:tc>
      </w:tr>
    </w:tbl>
    <w:p>
      <w:pPr>
        <w:pStyle w:val="a1"/>
        <w:bidi w:val="0"/>
      </w:pPr>
      <w:r>
        <w:t>容量监控人员职责：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按照容量管理计划执行日常容量监控；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记录容量监控数据，识别容量趋势；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发现容量异常时及时上报；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参与容量分析，提供技术数据支持；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执行批准的容量调整操作。</w:t>
      </w:r>
    </w:p>
    <w:p>
      <w:pPr>
        <w:pStyle w:val="3"/>
        <w:bidi w:val="0"/>
      </w:pPr>
      <w:bookmarkStart w:id="24" w:name="heading_11"/>
      <w:bookmarkStart w:id="25" w:name="_Toc4140"/>
      <w:r>
        <w:t>研发部经理</w:t>
      </w:r>
      <w:bookmarkEnd w:id="24"/>
      <w:bookmarkEnd w:id="25"/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参与容量规划，提供技术路线建议；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协助分析复杂系统的容量问题；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参与容量调整方案的技术评审；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对容量管理工具的选择和优化提供技术支持。</w:t>
      </w:r>
    </w:p>
    <w:p>
      <w:pPr>
        <w:pStyle w:val="3"/>
        <w:bidi w:val="0"/>
      </w:pPr>
      <w:bookmarkStart w:id="26" w:name="_Toc20994"/>
      <w:bookmarkStart w:id="27" w:name="heading_12"/>
      <w:r>
        <w:t>产品质量部</w:t>
      </w:r>
      <w:bookmarkEnd w:id="26"/>
      <w:bookmarkEnd w:id="27"/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t>确保容量管理过程有效、正确地执行；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t>对容量管理过程的KPI进行审计；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t>参与容量管理过程的持续改进。</w:t>
      </w:r>
    </w:p>
    <w:p>
      <w:pPr>
        <w:pStyle w:val="2"/>
        <w:bidi w:val="0"/>
      </w:pPr>
      <w:bookmarkStart w:id="28" w:name="heading_13"/>
      <w:bookmarkStart w:id="29" w:name="_Toc32671"/>
      <w:r>
        <w:t>过程重要控制点</w:t>
      </w:r>
      <w:bookmarkEnd w:id="28"/>
      <w:bookmarkEnd w:id="29"/>
    </w:p>
    <w:p>
      <w:pPr>
        <w:pStyle w:val="a1"/>
        <w:bidi w:val="0"/>
      </w:pPr>
      <w:r>
        <w:t>容量管理计划、容量阈值、容量告警、容量分析报告。</w:t>
      </w:r>
    </w:p>
    <w:p>
      <w:pPr>
        <w:pStyle w:val="1"/>
        <w:bidi w:val="0"/>
      </w:pPr>
      <w:bookmarkStart w:id="30" w:name="heading_14"/>
      <w:bookmarkStart w:id="31" w:name="_Toc20191"/>
      <w:r>
        <w:t>术语</w:t>
      </w:r>
      <w:bookmarkEnd w:id="30"/>
      <w:bookmarkEnd w:id="31"/>
    </w:p>
    <w:p>
      <w:pPr>
        <w:pStyle w:val="a3"/>
        <w:numPr>
          <w:ilvl w:val="0"/>
          <w:numId w:val="0"/>
        </w:numPr>
        <w:bidi w:val="0"/>
        <w:ind w:leftChars="0"/>
      </w:pPr>
      <w:r>
        <w:t>容量：IT基础设施或服务能够支持的最大工作负载或处理能力。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容量管理：确保IT服务能力满足当前和未来业务需求的过程，包括监控、分析、规划和调整。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容量阈值：预设的容量使用率临界值，当达到或超过该值时需触发预警或调整。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性能瓶颈：限制系统整体性能的关键资源，当该资源达到容量上限时，会影响整个系统的处理能力。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容量规划：根据业务发展趋势，预测未来容量需求，制定相应的容量扩充或优化计划。</w:t>
      </w:r>
    </w:p>
    <w:p>
      <w:pPr>
        <w:pStyle w:val="1"/>
        <w:bidi w:val="0"/>
      </w:pPr>
      <w:bookmarkStart w:id="32" w:name="_Toc1160"/>
      <w:bookmarkStart w:id="33" w:name="heading_15"/>
      <w:r>
        <w:t>流程</w:t>
      </w:r>
      <w:bookmarkEnd w:id="32"/>
      <w:bookmarkEnd w:id="33"/>
    </w:p>
    <w:p>
      <w:pPr>
        <w:pStyle w:val="a1"/>
        <w:bidi w:val="0"/>
        <w:rPr>
          <w:rFonts w:hint="eastAsia"/>
          <w:lang w:val="en-US" w:eastAsia="zh-CN"/>
        </w:rPr>
      </w:pPr>
      <w:r>
        <w:t>容量管理总体流程如</w:t>
      </w:r>
      <w:r>
        <w:rPr>
          <w:rFonts w:hint="eastAsia"/>
          <w:lang w:val="en-US" w:eastAsia="zh-CN"/>
        </w:rPr>
        <w:t>图4-1所示</w:t>
      </w:r>
    </w:p>
    <w:p>
      <w:pPr>
        <w:pStyle w:val="a3"/>
        <w:bidi w:val="0"/>
        <w:jc w:val="center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4" w:name="_Toc24198"/>
      <w:r>
        <w:rPr>
          <w:rFonts w:hint="eastAsia"/>
          <w:lang w:val="en-US" w:eastAsia="zh-CN"/>
        </w:rPr>
        <w:t xml:space="preserve"> 容量管理流程图</w:t>
      </w:r>
      <w:bookmarkEnd w:id="34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192.45pt;width:272.2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spacing w:before="120" w:after="120" w:line="288" w:lineRule="auto"/>
        <w:ind w:left="0"/>
        <w:jc w:val="left"/>
      </w:pPr>
    </w:p>
    <w:p>
      <w:pPr>
        <w:pStyle w:val="a1"/>
        <w:bidi w:val="0"/>
      </w:pPr>
      <w:r>
        <w:t>流程图说明：严格对应章节流程，补充异常分支和闭环逻辑，明确各环节衔接关系，与文档5.1至5.5过程描述完全一致，确保流程可落地。</w:t>
      </w:r>
    </w:p>
    <w:p>
      <w:pPr>
        <w:pStyle w:val="1"/>
        <w:bidi w:val="0"/>
      </w:pPr>
      <w:bookmarkStart w:id="35" w:name="_Toc13886"/>
      <w:bookmarkStart w:id="36" w:name="heading_16"/>
      <w:r>
        <w:t>过程描述</w:t>
      </w:r>
      <w:bookmarkEnd w:id="35"/>
      <w:bookmarkEnd w:id="36"/>
    </w:p>
    <w:p>
      <w:pPr>
        <w:pStyle w:val="2"/>
        <w:bidi w:val="0"/>
      </w:pPr>
      <w:bookmarkStart w:id="37" w:name="_Toc12859"/>
      <w:bookmarkStart w:id="38" w:name="heading_17"/>
      <w:r>
        <w:t>容量计划</w:t>
      </w:r>
      <w:bookmarkEnd w:id="37"/>
      <w:bookmarkEnd w:id="38"/>
      <w:bookmarkStart w:id="39" w:name="_GoBack"/>
      <w:bookmarkEnd w:id="39"/>
    </w:p>
    <w:p>
      <w:pPr>
        <w:pStyle w:val="a1"/>
        <w:bidi w:val="0"/>
      </w:pPr>
      <w:r>
        <w:t>容量管理负责人根据服务级别协议（SLA）、业务发展规划和服务合同，编制《容量管理计划》。容量管理计划应包括：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容量管理的范围和目标；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关键容量指标和阈值；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容量监控的频次和方法；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容量分析的内容和周期；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容量报告的格式和周期；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容量调整的审批流程；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容量管理的角色和职责。</w:t>
      </w:r>
    </w:p>
    <w:p>
      <w:pPr>
        <w:pStyle w:val="a1"/>
        <w:bidi w:val="0"/>
      </w:pPr>
      <w:r>
        <w:t>容量管理计划应每年至少评审一次，必要时进行修订。</w:t>
      </w:r>
    </w:p>
    <w:p>
      <w:pPr>
        <w:pStyle w:val="2"/>
        <w:bidi w:val="0"/>
      </w:pPr>
      <w:bookmarkStart w:id="40" w:name="_Toc12120"/>
      <w:bookmarkStart w:id="41" w:name="heading_18"/>
      <w:r>
        <w:t>容量监控</w:t>
      </w:r>
      <w:bookmarkEnd w:id="40"/>
      <w:bookmarkEnd w:id="41"/>
    </w:p>
    <w:p>
      <w:pPr>
        <w:pStyle w:val="a1"/>
        <w:bidi w:val="0"/>
      </w:pPr>
      <w:r>
        <w:t>容量监控人员按照容量管理计划执行日常容量监控。容量监控包括：</w:t>
      </w:r>
    </w:p>
    <w:p>
      <w:pPr>
        <w:pStyle w:val="3"/>
        <w:bidi w:val="0"/>
      </w:pPr>
      <w:bookmarkStart w:id="42" w:name="_Toc14196"/>
      <w:bookmarkStart w:id="43" w:name="heading_19"/>
      <w:r>
        <w:t>关键容量指标</w:t>
      </w:r>
      <w:bookmarkEnd w:id="42"/>
      <w:bookmarkEnd w:id="43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容量监控指标如表5-1所示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4" w:name="_Toc2489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容量监控指标表</w:t>
      </w:r>
      <w:bookmarkEnd w:id="4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625"/>
        <w:gridCol w:w="2280"/>
        <w:gridCol w:w="461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62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资源类型</w:t>
            </w:r>
          </w:p>
        </w:tc>
        <w:tc>
          <w:tcPr>
            <w:tcW w:w="22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关键指标</w:t>
            </w:r>
          </w:p>
        </w:tc>
        <w:tc>
          <w:tcPr>
            <w:tcW w:w="461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建议阈值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服务器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内存使用率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&gt;85% 预警，&gt;95%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磁盘使用率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网络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带宽利用率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&gt;70% 预警，&gt;85%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网络延迟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&gt;100ms 预警，&gt;200ms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数据库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最大连接数预警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表空间使用率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应用系统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响应时间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&gt;SLA约定值的80%预警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并发用户数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&gt;最大并发数的80%预警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前端设备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设备在线率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&lt;95% 预警</w:t>
            </w:r>
          </w:p>
        </w:tc>
      </w:tr>
    </w:tbl>
    <w:p>
      <w:pPr>
        <w:pStyle w:val="3"/>
        <w:bidi w:val="0"/>
      </w:pPr>
      <w:bookmarkStart w:id="45" w:name="_Toc26811"/>
      <w:bookmarkStart w:id="46" w:name="heading_20"/>
      <w:r>
        <w:t>监控方式</w:t>
      </w:r>
      <w:bookmarkEnd w:id="45"/>
      <w:bookmarkEnd w:id="46"/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自动监控：通过监控工具自动采集容量数据，实时或定期生成监控记录；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人工巡检：对于无法自动监控的设备，由运维工程师定期巡检并记录容量数据；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定期检查：每季度对容量监控数据进行汇总和分析。</w:t>
      </w:r>
    </w:p>
    <w:p>
      <w:pPr>
        <w:pStyle w:val="2"/>
        <w:bidi w:val="0"/>
      </w:pPr>
      <w:bookmarkStart w:id="47" w:name="_Toc24640"/>
      <w:bookmarkStart w:id="48" w:name="heading_21"/>
      <w:r>
        <w:t>容量分析</w:t>
      </w:r>
      <w:bookmarkEnd w:id="47"/>
      <w:bookmarkEnd w:id="48"/>
    </w:p>
    <w:p>
      <w:pPr>
        <w:pStyle w:val="a1"/>
        <w:bidi w:val="0"/>
      </w:pPr>
      <w:r>
        <w:t>容量分析是对监控数据进行分析，识别容量趋势、瓶颈和潜在风险的过程。</w:t>
      </w:r>
    </w:p>
    <w:p>
      <w:pPr>
        <w:pStyle w:val="3"/>
        <w:bidi w:val="0"/>
      </w:pPr>
      <w:bookmarkStart w:id="49" w:name="_Toc24337"/>
      <w:bookmarkStart w:id="50" w:name="heading_22"/>
      <w:r>
        <w:t>分析内容</w:t>
      </w:r>
      <w:bookmarkEnd w:id="49"/>
      <w:bookmarkEnd w:id="50"/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趋势分析：分析容量使用率的变化趋势，预测未来容量需求；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瓶颈分析：识别系统中的容量瓶颈，分析瓶颈产生的原因；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性能分析：分析系统性能与容量之间的关系，评估容量对性能的影响；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阈值分析：评估当前容量阈值设置的合理性，必要时进行调整。</w:t>
      </w:r>
    </w:p>
    <w:p>
      <w:pPr>
        <w:pStyle w:val="3"/>
        <w:bidi w:val="0"/>
      </w:pPr>
      <w:bookmarkStart w:id="51" w:name="_Toc23602"/>
      <w:bookmarkStart w:id="52" w:name="heading_23"/>
      <w:r>
        <w:t>分析周期</w:t>
      </w:r>
      <w:bookmarkEnd w:id="51"/>
      <w:bookmarkEnd w:id="52"/>
    </w:p>
    <w:p>
      <w:pPr>
        <w:pStyle w:val="a1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根据分析周期分为日常分析、月度分析等，详情如表5-2所示。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3" w:name="_Toc2029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分析周期表</w:t>
      </w:r>
      <w:bookmarkEnd w:id="5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06"/>
        <w:gridCol w:w="1125"/>
        <w:gridCol w:w="2894"/>
        <w:gridCol w:w="309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0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分析类型</w:t>
            </w:r>
          </w:p>
        </w:tc>
        <w:tc>
          <w:tcPr>
            <w:tcW w:w="11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周期</w:t>
            </w:r>
          </w:p>
        </w:tc>
        <w:tc>
          <w:tcPr>
            <w:tcW w:w="289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309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输出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日常分析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每周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硬件/软件运维工程师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日常监控记录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月度分析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每月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容量分析报告（月度）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季度分析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每季度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容量分析报告（季度）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0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年度分析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每年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容量规划报告</w:t>
            </w:r>
          </w:p>
        </w:tc>
      </w:tr>
    </w:tbl>
    <w:p>
      <w:pPr>
        <w:pStyle w:val="3"/>
        <w:bidi w:val="0"/>
      </w:pPr>
      <w:bookmarkStart w:id="54" w:name="_Toc15107"/>
      <w:bookmarkStart w:id="55" w:name="heading_24"/>
      <w:r>
        <w:t>异常处理</w:t>
      </w:r>
      <w:bookmarkEnd w:id="54"/>
      <w:bookmarkEnd w:id="55"/>
    </w:p>
    <w:p>
      <w:pPr>
        <w:pStyle w:val="a1"/>
        <w:bidi w:val="0"/>
      </w:pPr>
      <w:r>
        <w:t>当发现容量异常（如超过阈值、趋势异常、出现瓶颈）时，容量监控人员应立即上报容量管理负责人，并启动以下流程：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分析原因：分析容量异常的根本原因；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评估影响：评估容量异常对服务级别的影响；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制定方案：制定容量调整方案或临时应对措施；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发起变更：如需进行容量调整，通过变更管理流程执行。</w:t>
      </w:r>
    </w:p>
    <w:p>
      <w:pPr>
        <w:pStyle w:val="2"/>
        <w:bidi w:val="0"/>
      </w:pPr>
      <w:bookmarkStart w:id="56" w:name="heading_25"/>
      <w:bookmarkStart w:id="57" w:name="_Toc4900"/>
      <w:r>
        <w:t>容量调整</w:t>
      </w:r>
      <w:bookmarkEnd w:id="56"/>
      <w:bookmarkEnd w:id="57"/>
    </w:p>
    <w:p>
      <w:pPr>
        <w:pStyle w:val="a1"/>
        <w:bidi w:val="0"/>
      </w:pPr>
      <w:r>
        <w:t>容量调整是指根据容量分析和规划结果，对IT基础设施或服务能力进行优化或扩充的过程。</w:t>
      </w:r>
    </w:p>
    <w:p>
      <w:pPr>
        <w:pStyle w:val="3"/>
        <w:bidi w:val="0"/>
      </w:pPr>
      <w:bookmarkStart w:id="58" w:name="_Toc1910"/>
      <w:bookmarkStart w:id="59" w:name="heading_26"/>
      <w:r>
        <w:t>容量调整类型</w:t>
      </w:r>
      <w:bookmarkEnd w:id="58"/>
      <w:bookmarkEnd w:id="5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60" w:name="_Toc760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容量调整类型表</w:t>
      </w:r>
      <w:bookmarkEnd w:id="6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15"/>
        <w:gridCol w:w="3316"/>
        <w:gridCol w:w="409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1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331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409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紧急调整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容量严重不足，可能影响服务可用性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CPU使用率持续&gt;95%，需立即扩容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计划调整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根据容量预测，提前进行容量扩充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根据业务增长预测，提前增加服务器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优化调整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通过优化配置提升容量利用率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负载均衡优化、数据库索引优化</w:t>
            </w:r>
          </w:p>
        </w:tc>
      </w:tr>
    </w:tbl>
    <w:p>
      <w:pPr>
        <w:pStyle w:val="3"/>
        <w:bidi w:val="0"/>
      </w:pPr>
      <w:bookmarkStart w:id="61" w:name="heading_27"/>
      <w:bookmarkStart w:id="62" w:name="_Toc25875"/>
      <w:r>
        <w:t>容量调整流程</w:t>
      </w:r>
      <w:bookmarkEnd w:id="61"/>
      <w:bookmarkEnd w:id="62"/>
    </w:p>
    <w:p>
      <w:pPr>
        <w:pStyle w:val="a1"/>
        <w:bidi w:val="0"/>
      </w:pPr>
      <w:r>
        <w:t>容量调整应通过变更管理流程执行：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容量管理负责人或容量监控人员提出容量调整建议；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编制容量调整方案，包括：</w:t>
      </w:r>
    </w:p>
    <w:p>
      <w:pPr>
        <w:pStyle w:val="a3"/>
        <w:numPr>
          <w:ilvl w:val="0"/>
          <w:numId w:val="12"/>
        </w:numPr>
        <w:bidi w:val="0"/>
        <w:ind w:left="845" w:hanging="425" w:leftChars="0" w:firstLineChars="0"/>
      </w:pPr>
      <w:r>
        <w:t>调整原因和依据；</w:t>
      </w:r>
    </w:p>
    <w:p>
      <w:pPr>
        <w:pStyle w:val="a3"/>
        <w:numPr>
          <w:ilvl w:val="0"/>
          <w:numId w:val="12"/>
        </w:numPr>
        <w:bidi w:val="0"/>
        <w:ind w:left="845" w:hanging="425" w:leftChars="0" w:firstLineChars="0"/>
      </w:pPr>
      <w:r>
        <w:t>调整内容和技术方案；</w:t>
      </w:r>
    </w:p>
    <w:p>
      <w:pPr>
        <w:pStyle w:val="a3"/>
        <w:numPr>
          <w:ilvl w:val="0"/>
          <w:numId w:val="12"/>
        </w:numPr>
        <w:bidi w:val="0"/>
        <w:ind w:left="845" w:hanging="425" w:leftChars="0" w:firstLineChars="0"/>
      </w:pPr>
      <w:r>
        <w:t>预期效果和风险分析；</w:t>
      </w:r>
    </w:p>
    <w:p>
      <w:pPr>
        <w:pStyle w:val="a3"/>
        <w:numPr>
          <w:ilvl w:val="0"/>
          <w:numId w:val="12"/>
        </w:numPr>
        <w:bidi w:val="0"/>
        <w:ind w:left="845" w:hanging="425" w:leftChars="0" w:firstLineChars="0"/>
      </w:pPr>
      <w:r>
        <w:t>回退方案；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提交变更管理流程审批；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审批通过后，由变更实施人员执行调整；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调整完成后，更新配置管理数据库；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持续监控调整后的容量数据，验证调整效果。</w:t>
      </w:r>
    </w:p>
    <w:p>
      <w:pPr>
        <w:pStyle w:val="3"/>
        <w:bidi w:val="0"/>
      </w:pPr>
      <w:bookmarkStart w:id="63" w:name="heading_28"/>
      <w:bookmarkStart w:id="64" w:name="_Toc19058"/>
      <w:r>
        <w:t>容量投资决策</w:t>
      </w:r>
      <w:bookmarkEnd w:id="63"/>
      <w:bookmarkEnd w:id="64"/>
    </w:p>
    <w:p>
      <w:pPr>
        <w:pStyle w:val="a1"/>
        <w:bidi w:val="0"/>
      </w:pPr>
      <w:r>
        <w:t>对于需要新增硬件设备、软件许可或第三方服务的容量扩充，由运维部经理评估必要性，提交公司管理层审批。审批内容包括：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容量需求分析报告；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投资估算和成本效益分析；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实施方案和时间计划；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预期效果和风险分析。</w:t>
      </w:r>
    </w:p>
    <w:p>
      <w:pPr>
        <w:pStyle w:val="2"/>
        <w:bidi w:val="0"/>
      </w:pPr>
      <w:bookmarkStart w:id="65" w:name="_Toc21982"/>
      <w:bookmarkStart w:id="66" w:name="heading_29"/>
      <w:r>
        <w:t>容量报告</w:t>
      </w:r>
      <w:bookmarkEnd w:id="65"/>
      <w:bookmarkEnd w:id="66"/>
    </w:p>
    <w:p>
      <w:pPr>
        <w:pStyle w:val="a1"/>
        <w:bidi w:val="0"/>
      </w:pPr>
      <w:r>
        <w:t>容量管理负责人定期编制容量报告，向管理层和相关干系人汇报容量状况。</w:t>
      </w:r>
    </w:p>
    <w:p>
      <w:pPr>
        <w:pStyle w:val="3"/>
        <w:bidi w:val="0"/>
      </w:pPr>
      <w:bookmarkStart w:id="67" w:name="_Toc7791"/>
      <w:bookmarkStart w:id="68" w:name="heading_30"/>
      <w:r>
        <w:t>报告内容</w:t>
      </w:r>
      <w:bookmarkEnd w:id="67"/>
      <w:bookmarkEnd w:id="68"/>
    </w:p>
    <w:p>
      <w:pPr>
        <w:pStyle w:val="a1"/>
        <w:bidi w:val="0"/>
      </w:pPr>
      <w:r>
        <w:t>容量报告应包括：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关键容量指标的现状和趋势；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容量使用率统计和对比；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容量告警和异常事件统计；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容量瓶颈分析；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容量调整记录；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未来容量需求预测；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容量管理改进建议。</w:t>
      </w:r>
    </w:p>
    <w:p>
      <w:pPr>
        <w:pStyle w:val="3"/>
        <w:bidi w:val="0"/>
      </w:pPr>
      <w:bookmarkStart w:id="69" w:name="_Toc27627"/>
      <w:bookmarkStart w:id="70" w:name="heading_31"/>
      <w:r>
        <w:t>报告周期</w:t>
      </w:r>
      <w:bookmarkEnd w:id="69"/>
      <w:bookmarkEnd w:id="7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71" w:name="_Toc7105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报告周期表</w:t>
      </w:r>
      <w:bookmarkEnd w:id="7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211"/>
        <w:gridCol w:w="945"/>
        <w:gridCol w:w="536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21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报告类型</w:t>
            </w:r>
          </w:p>
        </w:tc>
        <w:tc>
          <w:tcPr>
            <w:tcW w:w="9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周期</w:t>
            </w:r>
          </w:p>
        </w:tc>
        <w:tc>
          <w:tcPr>
            <w:tcW w:w="536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发送范围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容量监控报告</w:t>
            </w:r>
          </w:p>
        </w:tc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每周</w:t>
            </w:r>
          </w:p>
        </w:tc>
        <w:tc>
          <w:tcPr>
            <w:tcW w:w="536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运维部内部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容量分析报告</w:t>
            </w:r>
          </w:p>
        </w:tc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每月</w:t>
            </w:r>
          </w:p>
        </w:tc>
        <w:tc>
          <w:tcPr>
            <w:tcW w:w="536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运维部经理、研发部经理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1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容量规划报告</w:t>
            </w:r>
          </w:p>
        </w:tc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每年</w:t>
            </w:r>
          </w:p>
        </w:tc>
        <w:tc>
          <w:tcPr>
            <w:tcW w:w="53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管理层、产品质量部、客户（如有约定）</w:t>
            </w:r>
          </w:p>
        </w:tc>
      </w:tr>
    </w:tbl>
    <w:p>
      <w:pPr>
        <w:pStyle w:val="1"/>
        <w:bidi w:val="0"/>
      </w:pPr>
      <w:bookmarkStart w:id="72" w:name="_Toc5855"/>
      <w:bookmarkStart w:id="73" w:name="heading_34"/>
      <w:r>
        <w:t>相关文件</w:t>
      </w:r>
      <w:bookmarkEnd w:id="72"/>
      <w:bookmarkEnd w:id="73"/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《变更管理程序》</w:t>
      </w:r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《事件管理程序》</w:t>
      </w:r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《问题管理程序》</w:t>
      </w:r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《配置管理程序》</w:t>
      </w:r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《服务级别管理程序》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4" w:name="_Toc251"/>
      <w:r>
        <w:rPr>
          <w:rFonts w:hint="default"/>
          <w:lang w:val="en-US" w:eastAsia="zh-CN"/>
        </w:rPr>
        <w:t>KPI指标</w:t>
      </w:r>
      <w:bookmarkEnd w:id="3"/>
      <w:bookmarkEnd w:id="7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5" w:name="_Toc18262"/>
      <w:bookmarkStart w:id="76" w:name="_Toc15905"/>
      <w:r>
        <w:rPr>
          <w:rFonts w:hint="default"/>
          <w:lang w:val="en-US" w:eastAsia="zh-CN"/>
        </w:rPr>
        <w:t xml:space="preserve"> KPI指标表</w:t>
      </w:r>
      <w:bookmarkEnd w:id="75"/>
      <w:bookmarkEnd w:id="7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4703"/>
        <w:gridCol w:w="998"/>
        <w:gridCol w:w="106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76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</w:t>
            </w: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47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指标计算</w:t>
            </w: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方式</w:t>
            </w:r>
          </w:p>
        </w:tc>
        <w:tc>
          <w:tcPr>
            <w:tcW w:w="9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106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6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容量报告及时性</w:t>
            </w:r>
          </w:p>
        </w:tc>
        <w:tc>
          <w:tcPr>
            <w:tcW w:w="47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（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实际按时提交的报告数/应按时提交的报告数</w:t>
            </w: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）×100%</w:t>
            </w:r>
          </w:p>
        </w:tc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≥9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5</w:t>
            </w: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%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季度</w:t>
            </w:r>
          </w:p>
        </w:tc>
      </w:tr>
    </w:tbl>
    <w:p>
      <w:pPr>
        <w:pStyle w:val="1"/>
        <w:bidi w:val="0"/>
      </w:pPr>
      <w:bookmarkStart w:id="77" w:name="_Toc21034"/>
      <w:bookmarkStart w:id="78" w:name="heading_35"/>
      <w:r>
        <w:t>输出的文件及记录</w:t>
      </w:r>
      <w:bookmarkEnd w:id="77"/>
      <w:bookmarkEnd w:id="7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9" w:name="_Toc181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bookmarkEnd w:id="7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5479"/>
        <w:gridCol w:w="304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547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文件和记录</w:t>
            </w:r>
          </w:p>
        </w:tc>
        <w:tc>
          <w:tcPr>
            <w:tcW w:w="304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《容量管理计划》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《容量监控记录》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《容量分析报告》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《容量调整记录》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《容量规划报告》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B3CF024"/>
    <w:multiLevelType w:val="singleLevel"/>
    <w:tmpl w:val="8B3CF024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32955DD"/>
    <w:multiLevelType w:val="singleLevel"/>
    <w:tmpl w:val="932955D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670664A"/>
    <w:multiLevelType w:val="singleLevel"/>
    <w:tmpl w:val="B670664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D27B16A"/>
    <w:multiLevelType w:val="singleLevel"/>
    <w:tmpl w:val="CD27B16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B28533F"/>
    <w:multiLevelType w:val="singleLevel"/>
    <w:tmpl w:val="DB28533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02A6D2B1"/>
    <w:multiLevelType w:val="singleLevel"/>
    <w:tmpl w:val="02A6D2B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6C74302"/>
    <w:multiLevelType w:val="singleLevel"/>
    <w:tmpl w:val="06C7430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A3ECF79"/>
    <w:multiLevelType w:val="singleLevel"/>
    <w:tmpl w:val="2A3ECF7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7DABBB8"/>
    <w:multiLevelType w:val="singleLevel"/>
    <w:tmpl w:val="37DABBB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38B1CB40"/>
    <w:multiLevelType w:val="singleLevel"/>
    <w:tmpl w:val="38B1CB4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5224521D"/>
    <w:multiLevelType w:val="singleLevel"/>
    <w:tmpl w:val="5224521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54464685"/>
    <w:multiLevelType w:val="singleLevel"/>
    <w:tmpl w:val="5446468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6213F925"/>
    <w:multiLevelType w:val="singleLevel"/>
    <w:tmpl w:val="6213F92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39ECD42"/>
    <w:multiLevelType w:val="singleLevel"/>
    <w:tmpl w:val="739ECD4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13"/>
  </w:num>
  <w:num w:numId="3">
    <w:abstractNumId w:val="8"/>
  </w:num>
  <w:num w:numId="4">
    <w:abstractNumId w:val="2"/>
  </w:num>
  <w:num w:numId="5">
    <w:abstractNumId w:val="7"/>
  </w:num>
  <w:num w:numId="6">
    <w:abstractNumId w:val="10"/>
  </w:num>
  <w:num w:numId="7">
    <w:abstractNumId w:val="4"/>
  </w:num>
  <w:num w:numId="8">
    <w:abstractNumId w:val="9"/>
  </w:num>
  <w:num w:numId="9">
    <w:abstractNumId w:val="14"/>
  </w:num>
  <w:num w:numId="10">
    <w:abstractNumId w:val="11"/>
  </w:num>
  <w:num w:numId="11">
    <w:abstractNumId w:val="12"/>
  </w:num>
  <w:num w:numId="12">
    <w:abstractNumId w:val="0"/>
  </w:num>
  <w:num w:numId="13">
    <w:abstractNumId w:val="5"/>
  </w:num>
  <w:num w:numId="14">
    <w:abstractNumId w:val="6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3575</Words>
  <Characters>3914</Characters>
  <Application>Microsoft Office Word</Application>
  <DocSecurity>0</DocSecurity>
  <Lines>0</Lines>
  <Paragraphs>0</Paragraphs>
  <ScaleCrop>false</ScaleCrop>
  <Company/>
  <LinksUpToDate>false</LinksUpToDate>
  <CharactersWithSpaces>4280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2026-04-07T21:55:49Z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