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运维服务信息安全管理制度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HFSJ-ITSS-0611</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姚耿桂</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姚耿桂</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_Toc17334 </w:instrText>
          </w:r>
          <w:r>
            <w:fldChar w:fldCharType="separate"/>
          </w:r>
          <w:r>
            <w:rPr>
              <w:rFonts w:hint="default"/>
            </w:rPr>
            <w:t xml:space="preserve">1. </w:t>
          </w:r>
          <w:r>
            <w:t>目的</w:t>
          </w:r>
          <w:r>
            <w:tab/>
          </w:r>
          <w:r>
            <w:fldChar w:fldCharType="begin"/>
          </w:r>
          <w:r>
            <w:instrText xml:space="preserve"> PAGEREF _Toc17334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_Toc9973 </w:instrText>
          </w:r>
          <w:r>
            <w:fldChar w:fldCharType="separate"/>
          </w:r>
          <w:r>
            <w:rPr>
              <w:rFonts w:hint="default"/>
            </w:rPr>
            <w:t xml:space="preserve">2. </w:t>
          </w:r>
          <w:r>
            <w:t>过程定义</w:t>
          </w:r>
          <w:r>
            <w:tab/>
          </w:r>
          <w:r>
            <w:fldChar w:fldCharType="begin"/>
          </w:r>
          <w:r>
            <w:instrText xml:space="preserve"> PAGEREF _Toc9973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_Toc11813 </w:instrText>
          </w:r>
          <w:r>
            <w:fldChar w:fldCharType="separate"/>
          </w:r>
          <w:r>
            <w:rPr>
              <w:rFonts w:hint="default"/>
            </w:rPr>
            <w:t xml:space="preserve">2.1. </w:t>
          </w:r>
          <w:r>
            <w:t>范围</w:t>
          </w:r>
          <w:r>
            <w:tab/>
          </w:r>
          <w:r>
            <w:fldChar w:fldCharType="begin"/>
          </w:r>
          <w:r>
            <w:instrText xml:space="preserve"> PAGEREF _Toc11813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_Toc1785 </w:instrText>
          </w:r>
          <w:r>
            <w:fldChar w:fldCharType="separate"/>
          </w:r>
          <w:r>
            <w:rPr>
              <w:rFonts w:hint="default"/>
            </w:rPr>
            <w:t xml:space="preserve">2.2. </w:t>
          </w:r>
          <w:r>
            <w:t>过程负责人</w:t>
          </w:r>
          <w:r>
            <w:tab/>
          </w:r>
          <w:r>
            <w:fldChar w:fldCharType="begin"/>
          </w:r>
          <w:r>
            <w:instrText xml:space="preserve"> PAGEREF _Toc1785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_Toc28097 </w:instrText>
          </w:r>
          <w:r>
            <w:fldChar w:fldCharType="separate"/>
          </w:r>
          <w:r>
            <w:rPr>
              <w:rFonts w:hint="default"/>
            </w:rPr>
            <w:t xml:space="preserve">2.3. </w:t>
          </w:r>
          <w:r>
            <w:t>主要输入</w:t>
          </w:r>
          <w:r>
            <w:tab/>
          </w:r>
          <w:r>
            <w:fldChar w:fldCharType="begin"/>
          </w:r>
          <w:r>
            <w:instrText xml:space="preserve"> PAGEREF _Toc28097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_Toc28753 </w:instrText>
          </w:r>
          <w:r>
            <w:fldChar w:fldCharType="separate"/>
          </w:r>
          <w:r>
            <w:rPr>
              <w:rFonts w:hint="default"/>
            </w:rPr>
            <w:t xml:space="preserve">2.4. </w:t>
          </w:r>
          <w:r>
            <w:t>主要输出</w:t>
          </w:r>
          <w:r>
            <w:tab/>
          </w:r>
          <w:r>
            <w:fldChar w:fldCharType="begin"/>
          </w:r>
          <w:r>
            <w:instrText xml:space="preserve"> PAGEREF _Toc28753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_Toc25563 </w:instrText>
          </w:r>
          <w:r>
            <w:fldChar w:fldCharType="separate"/>
          </w:r>
          <w:r>
            <w:rPr>
              <w:rFonts w:hint="default"/>
            </w:rPr>
            <w:t xml:space="preserve">2.5. </w:t>
          </w:r>
          <w:r>
            <w:t>角色和职责权限</w:t>
          </w:r>
          <w:r>
            <w:tab/>
          </w:r>
          <w:r>
            <w:fldChar w:fldCharType="begin"/>
          </w:r>
          <w:r>
            <w:instrText xml:space="preserve"> PAGEREF _Toc25563 \h </w:instrText>
          </w:r>
          <w:r>
            <w:fldChar w:fldCharType="separate"/>
          </w:r>
          <w:r>
            <w:t>6</w:t>
          </w:r>
          <w:r>
            <w:fldChar w:fldCharType="end"/>
          </w:r>
          <w:r>
            <w:fldChar w:fldCharType="end"/>
          </w:r>
        </w:p>
        <w:p>
          <w:pPr>
            <w:pStyle w:val="TOC3"/>
            <w:tabs>
              <w:tab w:val="right" w:leader="dot" w:pos="8306"/>
            </w:tabs>
          </w:pPr>
          <w:r>
            <w:fldChar w:fldCharType="begin"/>
          </w:r>
          <w:r>
            <w:instrText xml:space="preserve"> HYPERLINK \l _Toc30654 </w:instrText>
          </w:r>
          <w:r>
            <w:fldChar w:fldCharType="separate"/>
          </w:r>
          <w:r>
            <w:rPr>
              <w:rFonts w:hint="default"/>
            </w:rPr>
            <w:t xml:space="preserve">2.5.1. </w:t>
          </w:r>
          <w:r>
            <w:t>运维部经理（信息安全负责人）</w:t>
          </w:r>
          <w:r>
            <w:tab/>
          </w:r>
          <w:r>
            <w:fldChar w:fldCharType="begin"/>
          </w:r>
          <w:r>
            <w:instrText xml:space="preserve"> PAGEREF _Toc30654 \h </w:instrText>
          </w:r>
          <w:r>
            <w:fldChar w:fldCharType="separate"/>
          </w:r>
          <w:r>
            <w:t>6</w:t>
          </w:r>
          <w:r>
            <w:fldChar w:fldCharType="end"/>
          </w:r>
          <w:r>
            <w:fldChar w:fldCharType="end"/>
          </w:r>
        </w:p>
        <w:p>
          <w:pPr>
            <w:pStyle w:val="TOC3"/>
            <w:tabs>
              <w:tab w:val="right" w:leader="dot" w:pos="8306"/>
            </w:tabs>
          </w:pPr>
          <w:r>
            <w:fldChar w:fldCharType="begin"/>
          </w:r>
          <w:r>
            <w:instrText xml:space="preserve"> HYPERLINK \l _Toc4098 </w:instrText>
          </w:r>
          <w:r>
            <w:fldChar w:fldCharType="separate"/>
          </w:r>
          <w:r>
            <w:rPr>
              <w:rFonts w:hint="default"/>
            </w:rPr>
            <w:t xml:space="preserve">2.5.2. </w:t>
          </w:r>
          <w:r>
            <w:t>运维项目经理（信息安全服务负责人）</w:t>
          </w:r>
          <w:r>
            <w:tab/>
          </w:r>
          <w:r>
            <w:fldChar w:fldCharType="begin"/>
          </w:r>
          <w:r>
            <w:instrText xml:space="preserve"> PAGEREF _Toc4098 \h </w:instrText>
          </w:r>
          <w:r>
            <w:fldChar w:fldCharType="separate"/>
          </w:r>
          <w:r>
            <w:t>6</w:t>
          </w:r>
          <w:r>
            <w:fldChar w:fldCharType="end"/>
          </w:r>
          <w:r>
            <w:fldChar w:fldCharType="end"/>
          </w:r>
        </w:p>
        <w:p>
          <w:pPr>
            <w:pStyle w:val="TOC3"/>
            <w:tabs>
              <w:tab w:val="right" w:leader="dot" w:pos="8306"/>
            </w:tabs>
          </w:pPr>
          <w:r>
            <w:fldChar w:fldCharType="begin"/>
          </w:r>
          <w:r>
            <w:instrText xml:space="preserve"> HYPERLINK \l _Toc11552 </w:instrText>
          </w:r>
          <w:r>
            <w:fldChar w:fldCharType="separate"/>
          </w:r>
          <w:r>
            <w:rPr>
              <w:rFonts w:hint="default"/>
            </w:rPr>
            <w:t xml:space="preserve">2.5.3. </w:t>
          </w:r>
          <w:r>
            <w:t>运维工程师（信息安全实施人员）</w:t>
          </w:r>
          <w:r>
            <w:tab/>
          </w:r>
          <w:r>
            <w:fldChar w:fldCharType="begin"/>
          </w:r>
          <w:r>
            <w:instrText xml:space="preserve"> PAGEREF _Toc11552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_Toc16121 </w:instrText>
          </w:r>
          <w:r>
            <w:fldChar w:fldCharType="separate"/>
          </w:r>
          <w:r>
            <w:rPr>
              <w:rFonts w:hint="default"/>
            </w:rPr>
            <w:t xml:space="preserve">2.5.4. </w:t>
          </w:r>
          <w:r>
            <w:t>产品质量部</w:t>
          </w:r>
          <w:r>
            <w:tab/>
          </w:r>
          <w:r>
            <w:fldChar w:fldCharType="begin"/>
          </w:r>
          <w:r>
            <w:instrText xml:space="preserve"> PAGEREF _Toc16121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_Toc15623 </w:instrText>
          </w:r>
          <w:r>
            <w:fldChar w:fldCharType="separate"/>
          </w:r>
          <w:r>
            <w:rPr>
              <w:rFonts w:hint="default"/>
            </w:rPr>
            <w:t xml:space="preserve">2.6. </w:t>
          </w:r>
          <w:r>
            <w:t>过程重要控制点</w:t>
          </w:r>
          <w:r>
            <w:tab/>
          </w:r>
          <w:r>
            <w:fldChar w:fldCharType="begin"/>
          </w:r>
          <w:r>
            <w:instrText xml:space="preserve"> PAGEREF _Toc15623 \h </w:instrText>
          </w:r>
          <w:r>
            <w:fldChar w:fldCharType="separate"/>
          </w:r>
          <w:r>
            <w:t>7</w:t>
          </w:r>
          <w:r>
            <w:fldChar w:fldCharType="end"/>
          </w:r>
          <w:r>
            <w:fldChar w:fldCharType="end"/>
          </w:r>
        </w:p>
        <w:p>
          <w:pPr>
            <w:pStyle w:val="TOC1"/>
            <w:tabs>
              <w:tab w:val="right" w:leader="dot" w:pos="8306"/>
            </w:tabs>
          </w:pPr>
          <w:r>
            <w:fldChar w:fldCharType="begin"/>
          </w:r>
          <w:r>
            <w:instrText xml:space="preserve"> HYPERLINK \l _Toc6781 </w:instrText>
          </w:r>
          <w:r>
            <w:fldChar w:fldCharType="separate"/>
          </w:r>
          <w:r>
            <w:rPr>
              <w:rFonts w:hint="default"/>
            </w:rPr>
            <w:t xml:space="preserve">3. </w:t>
          </w:r>
          <w:r>
            <w:t>术语</w:t>
          </w:r>
          <w:r>
            <w:tab/>
          </w:r>
          <w:r>
            <w:fldChar w:fldCharType="begin"/>
          </w:r>
          <w:r>
            <w:instrText xml:space="preserve"> PAGEREF _Toc6781 \h </w:instrText>
          </w:r>
          <w:r>
            <w:fldChar w:fldCharType="separate"/>
          </w:r>
          <w:r>
            <w:t>7</w:t>
          </w:r>
          <w:r>
            <w:fldChar w:fldCharType="end"/>
          </w:r>
          <w:r>
            <w:fldChar w:fldCharType="end"/>
          </w:r>
        </w:p>
        <w:p>
          <w:pPr>
            <w:pStyle w:val="TOC1"/>
            <w:tabs>
              <w:tab w:val="right" w:leader="dot" w:pos="8306"/>
            </w:tabs>
          </w:pPr>
          <w:r>
            <w:fldChar w:fldCharType="begin"/>
          </w:r>
          <w:r>
            <w:instrText xml:space="preserve"> HYPERLINK \l _Toc25572 </w:instrText>
          </w:r>
          <w:r>
            <w:fldChar w:fldCharType="separate"/>
          </w:r>
          <w:r>
            <w:rPr>
              <w:rFonts w:hint="default"/>
            </w:rPr>
            <w:t xml:space="preserve">4. </w:t>
          </w:r>
          <w:r>
            <w:t>安全方针</w:t>
          </w:r>
          <w:r>
            <w:tab/>
          </w:r>
          <w:r>
            <w:fldChar w:fldCharType="begin"/>
          </w:r>
          <w:r>
            <w:instrText xml:space="preserve"> PAGEREF _Toc25572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_Toc26694 </w:instrText>
          </w:r>
          <w:r>
            <w:fldChar w:fldCharType="separate"/>
          </w:r>
          <w:r>
            <w:rPr>
              <w:rFonts w:hint="default"/>
            </w:rPr>
            <w:t xml:space="preserve">5. </w:t>
          </w:r>
          <w:r>
            <w:t>流程</w:t>
          </w:r>
          <w:r>
            <w:tab/>
          </w:r>
          <w:r>
            <w:fldChar w:fldCharType="begin"/>
          </w:r>
          <w:r>
            <w:instrText xml:space="preserve"> PAGEREF _Toc26694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_Toc26511 </w:instrText>
          </w:r>
          <w:r>
            <w:fldChar w:fldCharType="separate"/>
          </w:r>
          <w:r>
            <w:rPr>
              <w:rFonts w:hint="default"/>
            </w:rPr>
            <w:t xml:space="preserve">6. </w:t>
          </w:r>
          <w:r>
            <w:t>过程描述</w:t>
          </w:r>
          <w:r>
            <w:tab/>
          </w:r>
          <w:r>
            <w:fldChar w:fldCharType="begin"/>
          </w:r>
          <w:r>
            <w:instrText xml:space="preserve"> PAGEREF _Toc26511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_Toc31191 </w:instrText>
          </w:r>
          <w:r>
            <w:fldChar w:fldCharType="separate"/>
          </w:r>
          <w:r>
            <w:rPr>
              <w:rFonts w:hint="default"/>
            </w:rPr>
            <w:t xml:space="preserve">6.1. </w:t>
          </w:r>
          <w:r>
            <w:t>需求识别和分析</w:t>
          </w:r>
          <w:r>
            <w:tab/>
          </w:r>
          <w:r>
            <w:fldChar w:fldCharType="begin"/>
          </w:r>
          <w:r>
            <w:instrText xml:space="preserve"> PAGEREF _Toc31191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_Toc12868 </w:instrText>
          </w:r>
          <w:r>
            <w:fldChar w:fldCharType="separate"/>
          </w:r>
          <w:r>
            <w:rPr>
              <w:rFonts w:hint="default"/>
            </w:rPr>
            <w:t xml:space="preserve">6.2. </w:t>
          </w:r>
          <w:r>
            <w:t>确定安全实施范围</w:t>
          </w:r>
          <w:r>
            <w:tab/>
          </w:r>
          <w:r>
            <w:fldChar w:fldCharType="begin"/>
          </w:r>
          <w:r>
            <w:instrText xml:space="preserve"> PAGEREF _Toc12868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_Toc7203 </w:instrText>
          </w:r>
          <w:r>
            <w:fldChar w:fldCharType="separate"/>
          </w:r>
          <w:r>
            <w:rPr>
              <w:rFonts w:hint="default"/>
            </w:rPr>
            <w:t xml:space="preserve">6.3. </w:t>
          </w:r>
          <w:r>
            <w:t>信息安全风险评估</w:t>
          </w:r>
          <w:r>
            <w:tab/>
          </w:r>
          <w:r>
            <w:fldChar w:fldCharType="begin"/>
          </w:r>
          <w:r>
            <w:instrText xml:space="preserve"> PAGEREF _Toc7203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_Toc16963 </w:instrText>
          </w:r>
          <w:r>
            <w:fldChar w:fldCharType="separate"/>
          </w:r>
          <w:r>
            <w:rPr>
              <w:rFonts w:hint="default"/>
            </w:rPr>
            <w:t xml:space="preserve">6.4. </w:t>
          </w:r>
          <w:r>
            <w:t>设计安全规范</w:t>
          </w:r>
          <w:r>
            <w:tab/>
          </w:r>
          <w:r>
            <w:fldChar w:fldCharType="begin"/>
          </w:r>
          <w:r>
            <w:instrText xml:space="preserve"> PAGEREF _Toc16963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_Toc3349 </w:instrText>
          </w:r>
          <w:r>
            <w:fldChar w:fldCharType="separate"/>
          </w:r>
          <w:r>
            <w:rPr>
              <w:rFonts w:hint="default"/>
            </w:rPr>
            <w:t xml:space="preserve">6.5. </w:t>
          </w:r>
          <w:r>
            <w:t>实施安全规范</w:t>
          </w:r>
          <w:r>
            <w:tab/>
          </w:r>
          <w:r>
            <w:fldChar w:fldCharType="begin"/>
          </w:r>
          <w:r>
            <w:instrText xml:space="preserve"> PAGEREF _Toc3349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_Toc31673 </w:instrText>
          </w:r>
          <w:r>
            <w:fldChar w:fldCharType="separate"/>
          </w:r>
          <w:r>
            <w:rPr>
              <w:rFonts w:hint="default"/>
            </w:rPr>
            <w:t xml:space="preserve">6.6. </w:t>
          </w:r>
          <w:r>
            <w:t>监控安全状况</w:t>
          </w:r>
          <w:r>
            <w:tab/>
          </w:r>
          <w:r>
            <w:fldChar w:fldCharType="begin"/>
          </w:r>
          <w:r>
            <w:instrText xml:space="preserve"> PAGEREF _Toc31673 \h </w:instrText>
          </w:r>
          <w:r>
            <w:fldChar w:fldCharType="separate"/>
          </w:r>
          <w:r>
            <w:t>11</w:t>
          </w:r>
          <w:r>
            <w:fldChar w:fldCharType="end"/>
          </w:r>
          <w:r>
            <w:fldChar w:fldCharType="end"/>
          </w:r>
        </w:p>
        <w:p>
          <w:pPr>
            <w:pStyle w:val="TOC2"/>
            <w:tabs>
              <w:tab w:val="right" w:leader="dot" w:pos="8306"/>
            </w:tabs>
          </w:pPr>
          <w:r>
            <w:fldChar w:fldCharType="begin"/>
          </w:r>
          <w:r>
            <w:instrText xml:space="preserve"> HYPERLINK \l _Toc28271 </w:instrText>
          </w:r>
          <w:r>
            <w:fldChar w:fldCharType="separate"/>
          </w:r>
          <w:r>
            <w:rPr>
              <w:rFonts w:hint="default"/>
            </w:rPr>
            <w:t xml:space="preserve">6.7. </w:t>
          </w:r>
          <w:r>
            <w:t>维护安全规范</w:t>
          </w:r>
          <w:r>
            <w:tab/>
          </w:r>
          <w:r>
            <w:fldChar w:fldCharType="begin"/>
          </w:r>
          <w:r>
            <w:instrText xml:space="preserve"> PAGEREF _Toc28271 \h </w:instrText>
          </w:r>
          <w:r>
            <w:fldChar w:fldCharType="separate"/>
          </w:r>
          <w:r>
            <w:t>11</w:t>
          </w:r>
          <w:r>
            <w:fldChar w:fldCharType="end"/>
          </w:r>
          <w:r>
            <w:fldChar w:fldCharType="end"/>
          </w:r>
        </w:p>
        <w:p>
          <w:pPr>
            <w:pStyle w:val="TOC2"/>
            <w:tabs>
              <w:tab w:val="right" w:leader="dot" w:pos="8306"/>
            </w:tabs>
          </w:pPr>
          <w:r>
            <w:fldChar w:fldCharType="begin"/>
          </w:r>
          <w:r>
            <w:instrText xml:space="preserve"> HYPERLINK \l _Toc5785 </w:instrText>
          </w:r>
          <w:r>
            <w:fldChar w:fldCharType="separate"/>
          </w:r>
          <w:r>
            <w:rPr>
              <w:rFonts w:hint="default"/>
            </w:rPr>
            <w:t xml:space="preserve">6.8. </w:t>
          </w:r>
          <w:r>
            <w:t>信息安全报告</w:t>
          </w:r>
          <w:r>
            <w:tab/>
          </w:r>
          <w:r>
            <w:fldChar w:fldCharType="begin"/>
          </w:r>
          <w:r>
            <w:instrText xml:space="preserve"> PAGEREF _Toc5785 \h </w:instrText>
          </w:r>
          <w:r>
            <w:fldChar w:fldCharType="separate"/>
          </w:r>
          <w:r>
            <w:t>12</w:t>
          </w:r>
          <w:r>
            <w:fldChar w:fldCharType="end"/>
          </w:r>
          <w:r>
            <w:fldChar w:fldCharType="end"/>
          </w:r>
        </w:p>
        <w:p>
          <w:pPr>
            <w:pStyle w:val="TOC1"/>
            <w:tabs>
              <w:tab w:val="right" w:leader="dot" w:pos="8306"/>
            </w:tabs>
          </w:pPr>
          <w:r>
            <w:fldChar w:fldCharType="begin"/>
          </w:r>
          <w:r>
            <w:instrText xml:space="preserve"> HYPERLINK \l _Toc10407 </w:instrText>
          </w:r>
          <w:r>
            <w:fldChar w:fldCharType="separate"/>
          </w:r>
          <w:r>
            <w:rPr>
              <w:rFonts w:hint="default"/>
            </w:rPr>
            <w:t xml:space="preserve">7. </w:t>
          </w:r>
          <w:r>
            <w:t>相关文件</w:t>
          </w:r>
          <w:r>
            <w:tab/>
          </w:r>
          <w:r>
            <w:fldChar w:fldCharType="begin"/>
          </w:r>
          <w:r>
            <w:instrText xml:space="preserve"> PAGEREF _Toc10407 \h </w:instrText>
          </w:r>
          <w:r>
            <w:fldChar w:fldCharType="separate"/>
          </w:r>
          <w:r>
            <w:t>13</w:t>
          </w:r>
          <w:r>
            <w:fldChar w:fldCharType="end"/>
          </w:r>
          <w:r>
            <w:fldChar w:fldCharType="end"/>
          </w:r>
        </w:p>
        <w:p>
          <w:pPr>
            <w:pStyle w:val="TOC1"/>
            <w:tabs>
              <w:tab w:val="right" w:leader="dot" w:pos="8306"/>
            </w:tabs>
          </w:pPr>
          <w:r>
            <w:fldChar w:fldCharType="begin"/>
          </w:r>
          <w:r>
            <w:instrText xml:space="preserve"> HYPERLINK \l _Toc28811 </w:instrText>
          </w:r>
          <w:r>
            <w:fldChar w:fldCharType="separate"/>
          </w:r>
          <w:r>
            <w:rPr>
              <w:rFonts w:hint="default"/>
              <w:lang w:val="en-US" w:eastAsia="zh-CN"/>
            </w:rPr>
            <w:t>8. KPI指标</w:t>
          </w:r>
          <w:r>
            <w:tab/>
          </w:r>
          <w:r>
            <w:fldChar w:fldCharType="begin"/>
          </w:r>
          <w:r>
            <w:instrText xml:space="preserve"> PAGEREF _Toc28811 \h </w:instrText>
          </w:r>
          <w:r>
            <w:fldChar w:fldCharType="separate"/>
          </w:r>
          <w:r>
            <w:t>13</w:t>
          </w:r>
          <w:r>
            <w:fldChar w:fldCharType="end"/>
          </w:r>
          <w:r>
            <w:fldChar w:fldCharType="end"/>
          </w:r>
        </w:p>
        <w:p>
          <w:pPr>
            <w:pStyle w:val="TOC1"/>
            <w:tabs>
              <w:tab w:val="right" w:leader="dot" w:pos="8306"/>
            </w:tabs>
          </w:pPr>
          <w:r>
            <w:fldChar w:fldCharType="begin"/>
          </w:r>
          <w:r>
            <w:instrText xml:space="preserve"> HYPERLINK \l _Toc1449 </w:instrText>
          </w:r>
          <w:r>
            <w:fldChar w:fldCharType="separate"/>
          </w:r>
          <w:r>
            <w:rPr>
              <w:rFonts w:hint="default"/>
            </w:rPr>
            <w:t xml:space="preserve">9. </w:t>
          </w:r>
          <w:r>
            <w:t>输出的文件及记录</w:t>
          </w:r>
          <w:r>
            <w:tab/>
          </w:r>
          <w:r>
            <w:fldChar w:fldCharType="begin"/>
          </w:r>
          <w:r>
            <w:instrText xml:space="preserve"> PAGEREF _Toc1449 \h </w:instrText>
          </w:r>
          <w:r>
            <w:fldChar w:fldCharType="separate"/>
          </w:r>
          <w:r>
            <w:t>13</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tabs>
          <w:tab w:val="right" w:leader="dot" w:pos="8306"/>
        </w:tabs>
      </w:pPr>
      <w:r>
        <w:fldChar w:fldCharType="begin"/>
      </w:r>
      <w:r>
        <w:instrText>TOC \h \c "表"</w:instrText>
      </w:r>
      <w:r>
        <w:fldChar w:fldCharType="separate"/>
      </w:r>
      <w:r>
        <w:fldChar w:fldCharType="begin"/>
      </w:r>
      <w:r>
        <w:instrText xml:space="preserve"> HYPERLINK \l _Toc19109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default"/>
          <w:lang w:val="en-US" w:eastAsia="zh-CN"/>
        </w:rPr>
        <w:t xml:space="preserve"> </w:t>
      </w:r>
      <w:r>
        <w:t>信息安全输入清单</w:t>
      </w:r>
      <w:r>
        <w:tab/>
      </w:r>
      <w:r>
        <w:fldChar w:fldCharType="begin"/>
      </w:r>
      <w:r>
        <w:instrText xml:space="preserve"> PAGEREF _Toc19109 \h </w:instrText>
      </w:r>
      <w:r>
        <w:fldChar w:fldCharType="separate"/>
      </w:r>
      <w:r>
        <w:t>5</w:t>
      </w:r>
      <w:r>
        <w:fldChar w:fldCharType="end"/>
      </w:r>
      <w:r>
        <w:fldChar w:fldCharType="end"/>
      </w:r>
    </w:p>
    <w:p>
      <w:pPr>
        <w:pStyle w:val="TableofFigures"/>
        <w:tabs>
          <w:tab w:val="right" w:leader="dot" w:pos="8306"/>
        </w:tabs>
      </w:pPr>
      <w:r>
        <w:fldChar w:fldCharType="begin"/>
      </w:r>
      <w:r>
        <w:instrText xml:space="preserve"> HYPERLINK \l _Toc4436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2 信息安全输出清单</w:t>
      </w:r>
      <w:r>
        <w:tab/>
      </w:r>
      <w:r>
        <w:fldChar w:fldCharType="begin"/>
      </w:r>
      <w:r>
        <w:instrText xml:space="preserve"> PAGEREF _Toc4436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_Toc25688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3 信息安全角色职责表</w:t>
      </w:r>
      <w:r>
        <w:tab/>
      </w:r>
      <w:r>
        <w:fldChar w:fldCharType="begin"/>
      </w:r>
      <w:r>
        <w:instrText xml:space="preserve"> PAGEREF _Toc25688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_Toc32672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1 信息安全需求识别表</w:t>
      </w:r>
      <w:r>
        <w:tab/>
      </w:r>
      <w:r>
        <w:fldChar w:fldCharType="begin"/>
      </w:r>
      <w:r>
        <w:instrText xml:space="preserve"> PAGEREF _Toc32672 \h </w:instrText>
      </w:r>
      <w:r>
        <w:fldChar w:fldCharType="separate"/>
      </w:r>
      <w:r>
        <w:t>9</w:t>
      </w:r>
      <w:r>
        <w:fldChar w:fldCharType="end"/>
      </w:r>
      <w:r>
        <w:fldChar w:fldCharType="end"/>
      </w:r>
    </w:p>
    <w:p>
      <w:pPr>
        <w:pStyle w:val="TableofFigures"/>
        <w:tabs>
          <w:tab w:val="right" w:leader="dot" w:pos="8306"/>
        </w:tabs>
      </w:pPr>
      <w:r>
        <w:fldChar w:fldCharType="begin"/>
      </w:r>
      <w:r>
        <w:instrText xml:space="preserve"> HYPERLINK \l _Toc23804 </w:instrText>
      </w:r>
      <w:r>
        <w:fldChar w:fldCharType="separate"/>
      </w:r>
      <w:r>
        <w:rPr>
          <w:rFonts w:hint="eastAsia"/>
          <w:lang w:val="en-US" w:eastAsia="zh-CN"/>
        </w:rPr>
        <w:t>表 6-</w:t>
      </w:r>
      <w:r>
        <w:t xml:space="preserve">2 </w:t>
      </w:r>
      <w:r>
        <w:rPr>
          <w:rFonts w:hint="eastAsia"/>
          <w:lang w:val="en-US" w:eastAsia="zh-CN"/>
        </w:rPr>
        <w:t>安全实施范围确定表</w:t>
      </w:r>
      <w:r>
        <w:tab/>
      </w:r>
      <w:r>
        <w:fldChar w:fldCharType="begin"/>
      </w:r>
      <w:r>
        <w:instrText xml:space="preserve"> PAGEREF _Toc23804 \h </w:instrText>
      </w:r>
      <w:r>
        <w:fldChar w:fldCharType="separate"/>
      </w:r>
      <w:r>
        <w:t>9</w:t>
      </w:r>
      <w:r>
        <w:fldChar w:fldCharType="end"/>
      </w:r>
      <w:r>
        <w:fldChar w:fldCharType="end"/>
      </w:r>
    </w:p>
    <w:p>
      <w:pPr>
        <w:pStyle w:val="TableofFigures"/>
        <w:tabs>
          <w:tab w:val="right" w:leader="dot" w:pos="8306"/>
        </w:tabs>
      </w:pPr>
      <w:r>
        <w:fldChar w:fldCharType="begin"/>
      </w:r>
      <w:r>
        <w:instrText xml:space="preserve"> HYPERLINK \l _Toc13894 </w:instrText>
      </w:r>
      <w:r>
        <w:fldChar w:fldCharType="separate"/>
      </w:r>
      <w:r>
        <w:rPr>
          <w:rFonts w:hint="eastAsia"/>
          <w:lang w:val="en-US" w:eastAsia="zh-CN"/>
        </w:rPr>
        <w:t>表 6-</w:t>
      </w:r>
      <w:r>
        <w:t xml:space="preserve">3 </w:t>
      </w:r>
      <w:r>
        <w:rPr>
          <w:rFonts w:hint="eastAsia"/>
          <w:lang w:val="en-US" w:eastAsia="zh-CN"/>
        </w:rPr>
        <w:t>风险评估过程表</w:t>
      </w:r>
      <w:r>
        <w:tab/>
      </w:r>
      <w:r>
        <w:fldChar w:fldCharType="begin"/>
      </w:r>
      <w:r>
        <w:instrText xml:space="preserve"> PAGEREF _Toc13894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_Toc12740 </w:instrText>
      </w:r>
      <w:r>
        <w:fldChar w:fldCharType="separate"/>
      </w:r>
      <w:r>
        <w:rPr>
          <w:rFonts w:hint="eastAsia"/>
          <w:lang w:val="en-US" w:eastAsia="zh-CN"/>
        </w:rPr>
        <w:t>表 6-</w:t>
      </w:r>
      <w:r>
        <w:t xml:space="preserve">4 </w:t>
      </w:r>
      <w:r>
        <w:rPr>
          <w:rFonts w:hint="eastAsia"/>
          <w:lang w:val="en-US" w:eastAsia="zh-CN"/>
        </w:rPr>
        <w:t>安全规范内容表</w:t>
      </w:r>
      <w:r>
        <w:tab/>
      </w:r>
      <w:r>
        <w:fldChar w:fldCharType="begin"/>
      </w:r>
      <w:r>
        <w:instrText xml:space="preserve"> PAGEREF _Toc12740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_Toc21172 </w:instrText>
      </w:r>
      <w:r>
        <w:fldChar w:fldCharType="separate"/>
      </w:r>
      <w:r>
        <w:rPr>
          <w:rFonts w:hint="eastAsia"/>
          <w:lang w:val="en-US" w:eastAsia="zh-CN"/>
        </w:rPr>
        <w:t>表 6-</w:t>
      </w:r>
      <w:r>
        <w:t xml:space="preserve">5 </w:t>
      </w:r>
      <w:r>
        <w:rPr>
          <w:rFonts w:hint="eastAsia"/>
          <w:lang w:val="en-US" w:eastAsia="zh-CN"/>
        </w:rPr>
        <w:t>安全规范实施表</w:t>
      </w:r>
      <w:r>
        <w:tab/>
      </w:r>
      <w:r>
        <w:fldChar w:fldCharType="begin"/>
      </w:r>
      <w:r>
        <w:instrText xml:space="preserve"> PAGEREF _Toc21172 \h </w:instrText>
      </w:r>
      <w:r>
        <w:fldChar w:fldCharType="separate"/>
      </w:r>
      <w:r>
        <w:t>11</w:t>
      </w:r>
      <w:r>
        <w:fldChar w:fldCharType="end"/>
      </w:r>
      <w:r>
        <w:fldChar w:fldCharType="end"/>
      </w:r>
    </w:p>
    <w:p>
      <w:pPr>
        <w:pStyle w:val="TableofFigures"/>
        <w:tabs>
          <w:tab w:val="right" w:leader="dot" w:pos="8306"/>
        </w:tabs>
      </w:pPr>
      <w:r>
        <w:fldChar w:fldCharType="begin"/>
      </w:r>
      <w:r>
        <w:instrText xml:space="preserve"> HYPERLINK \l _Toc22303 </w:instrText>
      </w:r>
      <w:r>
        <w:fldChar w:fldCharType="separate"/>
      </w:r>
      <w:r>
        <w:rPr>
          <w:rFonts w:hint="eastAsia"/>
          <w:lang w:val="en-US" w:eastAsia="zh-CN"/>
        </w:rPr>
        <w:t>表 6-</w:t>
      </w:r>
      <w:r>
        <w:t xml:space="preserve">6 </w:t>
      </w:r>
      <w:r>
        <w:rPr>
          <w:rFonts w:hint="eastAsia"/>
          <w:lang w:val="en-US" w:eastAsia="zh-CN"/>
        </w:rPr>
        <w:t>安全监控内容表</w:t>
      </w:r>
      <w:r>
        <w:tab/>
      </w:r>
      <w:r>
        <w:fldChar w:fldCharType="begin"/>
      </w:r>
      <w:r>
        <w:instrText xml:space="preserve"> PAGEREF _Toc22303 \h </w:instrText>
      </w:r>
      <w:r>
        <w:fldChar w:fldCharType="separate"/>
      </w:r>
      <w:r>
        <w:t>11</w:t>
      </w:r>
      <w:r>
        <w:fldChar w:fldCharType="end"/>
      </w:r>
      <w:r>
        <w:fldChar w:fldCharType="end"/>
      </w:r>
    </w:p>
    <w:p>
      <w:pPr>
        <w:pStyle w:val="TableofFigures"/>
        <w:tabs>
          <w:tab w:val="right" w:leader="dot" w:pos="8306"/>
        </w:tabs>
      </w:pPr>
      <w:r>
        <w:fldChar w:fldCharType="begin"/>
      </w:r>
      <w:r>
        <w:instrText xml:space="preserve"> HYPERLINK \l _Toc13674 </w:instrText>
      </w:r>
      <w:r>
        <w:fldChar w:fldCharType="separate"/>
      </w:r>
      <w:r>
        <w:rPr>
          <w:rFonts w:hint="eastAsia"/>
          <w:lang w:val="en-US" w:eastAsia="zh-CN"/>
        </w:rPr>
        <w:t>表 6-</w:t>
      </w:r>
      <w:r>
        <w:t xml:space="preserve">7 </w:t>
      </w:r>
      <w:r>
        <w:rPr>
          <w:rFonts w:hint="eastAsia"/>
          <w:lang w:val="en-US" w:eastAsia="zh-CN"/>
        </w:rPr>
        <w:t>安全规范维护触发条件表</w:t>
      </w:r>
      <w:r>
        <w:tab/>
      </w:r>
      <w:r>
        <w:fldChar w:fldCharType="begin"/>
      </w:r>
      <w:r>
        <w:instrText xml:space="preserve"> PAGEREF _Toc13674 \h </w:instrText>
      </w:r>
      <w:r>
        <w:fldChar w:fldCharType="separate"/>
      </w:r>
      <w:r>
        <w:t>12</w:t>
      </w:r>
      <w:r>
        <w:fldChar w:fldCharType="end"/>
      </w:r>
      <w:r>
        <w:fldChar w:fldCharType="end"/>
      </w:r>
    </w:p>
    <w:p>
      <w:pPr>
        <w:pStyle w:val="TableofFigures"/>
        <w:tabs>
          <w:tab w:val="right" w:leader="dot" w:pos="8306"/>
        </w:tabs>
      </w:pPr>
      <w:r>
        <w:fldChar w:fldCharType="begin"/>
      </w:r>
      <w:r>
        <w:instrText xml:space="preserve"> HYPERLINK \l _Toc16186 </w:instrText>
      </w:r>
      <w:r>
        <w:fldChar w:fldCharType="separate"/>
      </w:r>
      <w:r>
        <w:rPr>
          <w:rFonts w:hint="eastAsia"/>
          <w:lang w:val="en-US" w:eastAsia="zh-CN"/>
        </w:rPr>
        <w:t>表 6-</w:t>
      </w:r>
      <w:r>
        <w:t xml:space="preserve">8 </w:t>
      </w:r>
      <w:r>
        <w:rPr>
          <w:rFonts w:hint="eastAsia"/>
          <w:lang w:val="en-US" w:eastAsia="zh-CN"/>
        </w:rPr>
        <w:t>信息安全报告内容表</w:t>
      </w:r>
      <w:r>
        <w:tab/>
      </w:r>
      <w:r>
        <w:fldChar w:fldCharType="begin"/>
      </w:r>
      <w:r>
        <w:instrText xml:space="preserve"> PAGEREF _Toc16186 \h </w:instrText>
      </w:r>
      <w:r>
        <w:fldChar w:fldCharType="separate"/>
      </w:r>
      <w:r>
        <w:t>12</w:t>
      </w:r>
      <w:r>
        <w:fldChar w:fldCharType="end"/>
      </w:r>
      <w:r>
        <w:fldChar w:fldCharType="end"/>
      </w:r>
    </w:p>
    <w:p>
      <w:pPr>
        <w:pStyle w:val="TableofFigures"/>
        <w:tabs>
          <w:tab w:val="right" w:leader="dot" w:pos="8306"/>
        </w:tabs>
      </w:pPr>
      <w:r>
        <w:fldChar w:fldCharType="begin"/>
      </w:r>
      <w:r>
        <w:instrText xml:space="preserve"> HYPERLINK \l _Toc23716 </w:instrText>
      </w:r>
      <w: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1 </w:t>
      </w:r>
      <w:r>
        <w:rPr>
          <w:rFonts w:hint="default"/>
          <w:lang w:val="en-US" w:eastAsia="zh-CN"/>
        </w:rPr>
        <w:t xml:space="preserve"> KPI指标表</w:t>
      </w:r>
      <w:r>
        <w:tab/>
      </w:r>
      <w:r>
        <w:fldChar w:fldCharType="begin"/>
      </w:r>
      <w:r>
        <w:instrText xml:space="preserve"> PAGEREF _Toc23716 \h </w:instrText>
      </w:r>
      <w:r>
        <w:fldChar w:fldCharType="separate"/>
      </w:r>
      <w:r>
        <w:t>13</w:t>
      </w:r>
      <w:r>
        <w:fldChar w:fldCharType="end"/>
      </w:r>
      <w:r>
        <w:fldChar w:fldCharType="end"/>
      </w:r>
    </w:p>
    <w:p>
      <w:pPr>
        <w:pStyle w:val="TableofFigures"/>
        <w:tabs>
          <w:tab w:val="right" w:leader="dot" w:pos="8306"/>
        </w:tabs>
      </w:pPr>
      <w:r>
        <w:fldChar w:fldCharType="begin"/>
      </w:r>
      <w:r>
        <w:instrText xml:space="preserve"> HYPERLINK \l _Toc10694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1 </w:t>
      </w:r>
      <w:r>
        <w:rPr>
          <w:rFonts w:hint="default"/>
          <w:lang w:val="en-US" w:eastAsia="zh-CN"/>
        </w:rPr>
        <w:t xml:space="preserve"> </w:t>
      </w:r>
      <w:r>
        <w:rPr>
          <w:rFonts w:hint="eastAsia"/>
          <w:lang w:val="en-US" w:eastAsia="zh-CN"/>
        </w:rPr>
        <w:t>输出文件和记录表</w:t>
      </w:r>
      <w:r>
        <w:tab/>
      </w:r>
      <w:r>
        <w:fldChar w:fldCharType="begin"/>
      </w:r>
      <w:r>
        <w:instrText xml:space="preserve"> PAGEREF _Toc10694 \h </w:instrText>
      </w:r>
      <w:r>
        <w:fldChar w:fldCharType="separate"/>
      </w:r>
      <w:r>
        <w:t>13</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图目录</w:t>
      </w:r>
    </w:p>
    <w:p>
      <w:pPr>
        <w:pStyle w:val="TableofFigures"/>
        <w:tabs>
          <w:tab w:val="right" w:leader="dot" w:pos="8306"/>
        </w:tabs>
      </w:pPr>
      <w:r>
        <w:fldChar w:fldCharType="begin"/>
      </w:r>
      <w:r>
        <w:instrText>TOC \h \c "图"</w:instrText>
      </w:r>
      <w:r>
        <w:fldChar w:fldCharType="separate"/>
      </w:r>
      <w:r>
        <w:fldChar w:fldCharType="begin"/>
      </w:r>
      <w:r>
        <w:instrText xml:space="preserve"> HYPERLINK \l _Toc21049 </w:instrText>
      </w:r>
      <w:r>
        <w:fldChar w:fldCharType="separate"/>
      </w:r>
      <w:r>
        <w:rPr>
          <w:rFonts w:hint="eastAsia"/>
          <w:lang w:val="en-US" w:eastAsia="zh-CN"/>
        </w:rPr>
        <w:t xml:space="preserve">图 </w:t>
      </w:r>
      <w:r>
        <w:rPr>
          <w:rFonts w:hint="default"/>
          <w:lang w:val="en-US" w:eastAsia="zh-CN"/>
        </w:rPr>
        <w:t>5</w:t>
      </w:r>
      <w:r>
        <w:rPr>
          <w:rFonts w:hint="eastAsia"/>
          <w:lang w:val="en-US" w:eastAsia="zh-CN"/>
        </w:rPr>
        <w:t>-</w:t>
      </w:r>
      <w:r>
        <w:t>1 信息安全管理流程图</w:t>
      </w:r>
      <w:r>
        <w:tab/>
      </w:r>
      <w:r>
        <w:fldChar w:fldCharType="begin"/>
      </w:r>
      <w:r>
        <w:instrText xml:space="preserve"> PAGEREF _Toc21049 \h </w:instrText>
      </w:r>
      <w:r>
        <w:fldChar w:fldCharType="separate"/>
      </w:r>
      <w:r>
        <w:t>8</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heading_2"/>
      <w:bookmarkStart w:id="2" w:name="_Toc17334"/>
      <w:bookmarkStart w:id="3" w:name="heading_34"/>
      <w:bookmarkStart w:id="4" w:name="_Toc24159"/>
      <w:r>
        <w:t>目的</w:t>
      </w:r>
      <w:bookmarkEnd w:id="1"/>
      <w:bookmarkEnd w:id="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本制度旨在对华风数据(深圳)有限公司（以下简称“公司”）执行信息安全风险评估提供指导和规范。</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本制度的目的是在运维服务工作中有效管理信息安全：</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满足软件产品及项目运行和运维服务中的安全性需求以及合同、法律和外部政策等外部要求；</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提供一个满足需求的基本的信息系统安全基线；</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确保有效的信息安全措施在管理层、运维服务部门和运维人员三个层面都得到贯彻。</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heading_3"/>
      <w:bookmarkStart w:id="6" w:name="_Toc9973"/>
      <w:r>
        <w:t>过程定义</w:t>
      </w:r>
      <w:bookmarkEnd w:id="5"/>
      <w:bookmarkEnd w:id="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安全管理是顺应信息安全的需要而产生的，其主要目标是确保信息的安全性。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安全管理致力于确保服务的安全性在任何时候都能达到与客户约定的级别。</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安全性在服务中被视为可用性管理的一部分。安全管理已经成为现代服务管理中一个重要的问题。</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安全性是指不易遭到已知风险的侵袭，并且尽可能地规避未知风险的性能。提供这种性能的工具是安全措施。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安全措施的目标是要保护信息的价值，这种价值取决于机密性、完整性和可用性三个方面。</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heading_4"/>
      <w:bookmarkStart w:id="8" w:name="_Toc11813"/>
      <w:r>
        <w:t>范围</w:t>
      </w:r>
      <w:bookmarkEnd w:id="7"/>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本制度适用于运维服务覆盖的所有部门，包括运维部、研发部、产品质量部、综合部。</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heading_5"/>
      <w:bookmarkStart w:id="10" w:name="_Toc1785"/>
      <w:r>
        <w:t>过程负责人</w:t>
      </w:r>
      <w:bookmarkEnd w:id="9"/>
      <w:bookmarkEnd w:id="1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信息安全负责人：运维部经理</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_Toc28097"/>
      <w:bookmarkStart w:id="12" w:name="heading_6"/>
      <w:r>
        <w:t>主要输入</w:t>
      </w:r>
      <w:bookmarkEnd w:id="11"/>
      <w:bookmarkEnd w:id="12"/>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3" w:name="_Toc19109"/>
      <w:r>
        <w:rPr>
          <w:rFonts w:hint="default"/>
          <w:lang w:val="en-US" w:eastAsia="zh-CN"/>
        </w:rPr>
        <w:t xml:space="preserve"> </w:t>
      </w:r>
      <w:r>
        <w:t>信息安全输入清单</w:t>
      </w:r>
      <w:bookmarkEnd w:id="13"/>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4886"/>
        <w:gridCol w:w="3636"/>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4886" w:type="dxa"/>
            <w:tcBorders>
              <w:top w:val="single" w:sz="12" w:space="0" w:color="auto"/>
              <w:left w:val="single" w:sz="12" w:space="0" w:color="auto"/>
              <w:bottom w:val="nil"/>
              <w:right w:val="nil"/>
            </w:tcBorders>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pPr>
            <w:r>
              <w:t>输入</w:t>
            </w:r>
          </w:p>
        </w:tc>
        <w:tc>
          <w:tcPr>
            <w:tcW w:w="3636" w:type="dxa"/>
            <w:tcBorders>
              <w:top w:val="single" w:sz="12" w:space="0" w:color="auto"/>
              <w:left w:val="single" w:sz="4" w:space="0" w:color="auto"/>
              <w:bottom w:val="nil"/>
              <w:right w:val="single" w:sz="12" w:space="0" w:color="auto"/>
            </w:tcBorders>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pPr>
            <w:r>
              <w:t>来源</w:t>
            </w:r>
          </w:p>
        </w:tc>
      </w:tr>
      <w:tr>
        <w:tblPrEx>
          <w:tblW w:w="8522" w:type="dxa"/>
          <w:jc w:val="center"/>
          <w:tblCellMar>
            <w:top w:w="0" w:type="dxa"/>
            <w:left w:w="10" w:type="dxa"/>
            <w:bottom w:w="0" w:type="dxa"/>
            <w:right w:w="10" w:type="dxa"/>
          </w:tblCellMar>
        </w:tblPrEx>
        <w:trPr>
          <w:trHeight w:val="0"/>
          <w:tblHeader/>
          <w:jc w:val="center"/>
        </w:trPr>
        <w:tc>
          <w:tcPr>
            <w:tcW w:w="4886" w:type="dxa"/>
            <w:tcBorders>
              <w:top w:val="single" w:sz="4" w:space="0" w:color="auto"/>
              <w:left w:val="single" w:sz="12" w:space="0" w:color="auto"/>
              <w:bottom w:val="nil"/>
              <w:right w:val="nil"/>
            </w:tcBorders>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服务级别需求</w:t>
            </w:r>
          </w:p>
        </w:tc>
        <w:tc>
          <w:tcPr>
            <w:tcW w:w="3636" w:type="dxa"/>
            <w:tcBorders>
              <w:top w:val="single" w:sz="4" w:space="0" w:color="auto"/>
              <w:left w:val="single" w:sz="4" w:space="0" w:color="auto"/>
              <w:bottom w:val="nil"/>
              <w:right w:val="single" w:sz="12" w:space="0" w:color="auto"/>
            </w:tcBorders>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服务级别协议</w:t>
            </w:r>
          </w:p>
        </w:tc>
      </w:tr>
      <w:tr>
        <w:tblPrEx>
          <w:tblW w:w="8522" w:type="dxa"/>
          <w:jc w:val="center"/>
          <w:tblCellMar>
            <w:top w:w="0" w:type="dxa"/>
            <w:left w:w="10" w:type="dxa"/>
            <w:bottom w:w="0" w:type="dxa"/>
            <w:right w:w="10" w:type="dxa"/>
          </w:tblCellMar>
        </w:tblPrEx>
        <w:trPr>
          <w:trHeight w:val="0"/>
          <w:tblHeader/>
          <w:jc w:val="center"/>
        </w:trPr>
        <w:tc>
          <w:tcPr>
            <w:tcW w:w="4886" w:type="dxa"/>
            <w:tcBorders>
              <w:top w:val="single" w:sz="4" w:space="0" w:color="auto"/>
              <w:left w:val="single" w:sz="12" w:space="0" w:color="auto"/>
              <w:bottom w:val="single" w:sz="12" w:space="0" w:color="auto"/>
              <w:right w:val="nil"/>
            </w:tcBorders>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配置项、记录和报告</w:t>
            </w:r>
          </w:p>
        </w:tc>
        <w:tc>
          <w:tcPr>
            <w:tcW w:w="3636"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配置管理</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heading_7"/>
      <w:bookmarkStart w:id="15" w:name="_Toc28753"/>
      <w:r>
        <w:t>主要输出</w:t>
      </w:r>
      <w:bookmarkEnd w:id="14"/>
      <w:bookmarkEnd w:id="15"/>
    </w:p>
    <w:p>
      <w:pPr>
        <w:pStyle w:val="a3"/>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16" w:name="_Toc4436"/>
      <w:r>
        <w:t>信息安全输出清单</w:t>
      </w:r>
      <w:bookmarkEnd w:id="16"/>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2646"/>
        <w:gridCol w:w="5876"/>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2646"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输出</w:t>
            </w:r>
          </w:p>
        </w:tc>
        <w:tc>
          <w:tcPr>
            <w:tcW w:w="5876"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去向</w:t>
            </w:r>
          </w:p>
        </w:tc>
      </w:tr>
      <w:tr>
        <w:tblPrEx>
          <w:tblW w:w="8522" w:type="dxa"/>
          <w:jc w:val="center"/>
          <w:tblCellMar>
            <w:top w:w="0" w:type="dxa"/>
            <w:left w:w="10" w:type="dxa"/>
            <w:bottom w:w="0" w:type="dxa"/>
            <w:right w:w="10" w:type="dxa"/>
          </w:tblCellMar>
        </w:tblPrEx>
        <w:trPr>
          <w:trHeight w:val="0"/>
          <w:jc w:val="center"/>
        </w:trPr>
        <w:tc>
          <w:tcPr>
            <w:tcW w:w="264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风险评估报告</w:t>
            </w:r>
          </w:p>
        </w:tc>
        <w:tc>
          <w:tcPr>
            <w:tcW w:w="587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信息安全负责人、部门经理</w:t>
            </w:r>
          </w:p>
        </w:tc>
      </w:tr>
      <w:tr>
        <w:tblPrEx>
          <w:tblW w:w="8522" w:type="dxa"/>
          <w:jc w:val="center"/>
          <w:tblCellMar>
            <w:top w:w="0" w:type="dxa"/>
            <w:left w:w="10" w:type="dxa"/>
            <w:bottom w:w="0" w:type="dxa"/>
            <w:right w:w="10" w:type="dxa"/>
          </w:tblCellMar>
        </w:tblPrEx>
        <w:trPr>
          <w:trHeight w:val="0"/>
          <w:jc w:val="center"/>
        </w:trPr>
        <w:tc>
          <w:tcPr>
            <w:tcW w:w="264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信息安全管理规范</w:t>
            </w:r>
          </w:p>
        </w:tc>
        <w:tc>
          <w:tcPr>
            <w:tcW w:w="587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信息安全负责人、部门经理</w:t>
            </w:r>
          </w:p>
        </w:tc>
      </w:tr>
      <w:tr>
        <w:tblPrEx>
          <w:tblW w:w="8522" w:type="dxa"/>
          <w:jc w:val="center"/>
          <w:tblCellMar>
            <w:top w:w="0" w:type="dxa"/>
            <w:left w:w="10" w:type="dxa"/>
            <w:bottom w:w="0" w:type="dxa"/>
            <w:right w:w="10" w:type="dxa"/>
          </w:tblCellMar>
        </w:tblPrEx>
        <w:trPr>
          <w:trHeight w:val="0"/>
          <w:jc w:val="center"/>
        </w:trPr>
        <w:tc>
          <w:tcPr>
            <w:tcW w:w="264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变更管理</w:t>
            </w:r>
          </w:p>
        </w:tc>
        <w:tc>
          <w:tcPr>
            <w:tcW w:w="587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服务实施过程中，服务交付过程的主要步骤</w:t>
            </w:r>
          </w:p>
        </w:tc>
      </w:tr>
      <w:tr>
        <w:tblPrEx>
          <w:tblW w:w="8522" w:type="dxa"/>
          <w:jc w:val="center"/>
          <w:tblCellMar>
            <w:top w:w="0" w:type="dxa"/>
            <w:left w:w="10" w:type="dxa"/>
            <w:bottom w:w="0" w:type="dxa"/>
            <w:right w:w="10" w:type="dxa"/>
          </w:tblCellMar>
        </w:tblPrEx>
        <w:trPr>
          <w:trHeight w:val="0"/>
          <w:jc w:val="center"/>
        </w:trPr>
        <w:tc>
          <w:tcPr>
            <w:tcW w:w="2646"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服务报告管理</w:t>
            </w:r>
          </w:p>
        </w:tc>
        <w:tc>
          <w:tcPr>
            <w:tcW w:w="5876"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服务实施过程中，服务交付过程的主要步骤</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_Toc25563"/>
      <w:bookmarkStart w:id="18" w:name="heading_8"/>
      <w:r>
        <w:t>角色和职责权限</w:t>
      </w:r>
      <w:bookmarkEnd w:id="17"/>
      <w:bookmarkEnd w:id="18"/>
    </w:p>
    <w:p>
      <w:pPr>
        <w:pStyle w:val="a3"/>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19" w:name="_Toc25688"/>
      <w:r>
        <w:t>信息安全角色职责表</w:t>
      </w:r>
      <w:bookmarkEnd w:id="19"/>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2184"/>
        <w:gridCol w:w="1690"/>
        <w:gridCol w:w="4648"/>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2184"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角色</w:t>
            </w:r>
          </w:p>
        </w:tc>
        <w:tc>
          <w:tcPr>
            <w:tcW w:w="169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岗位</w:t>
            </w:r>
          </w:p>
        </w:tc>
        <w:tc>
          <w:tcPr>
            <w:tcW w:w="4649"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主要职责</w:t>
            </w:r>
          </w:p>
        </w:tc>
      </w:tr>
      <w:tr>
        <w:tblPrEx>
          <w:tblW w:w="8522" w:type="dxa"/>
          <w:jc w:val="center"/>
          <w:tblCellMar>
            <w:top w:w="0" w:type="dxa"/>
            <w:left w:w="10" w:type="dxa"/>
            <w:bottom w:w="0" w:type="dxa"/>
            <w:right w:w="10" w:type="dxa"/>
          </w:tblCellMar>
        </w:tblPrEx>
        <w:trPr>
          <w:trHeight w:val="0"/>
          <w:jc w:val="center"/>
        </w:trPr>
        <w:tc>
          <w:tcPr>
            <w:tcW w:w="218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信息安全负责人</w:t>
            </w:r>
          </w:p>
        </w:tc>
        <w:tc>
          <w:tcPr>
            <w:tcW w:w="169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w:t>
            </w:r>
          </w:p>
        </w:tc>
        <w:tc>
          <w:tcPr>
            <w:tcW w:w="46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负责安全管理制度、流程的建立和维护</w:t>
            </w:r>
          </w:p>
        </w:tc>
      </w:tr>
      <w:tr>
        <w:tblPrEx>
          <w:tblW w:w="8522" w:type="dxa"/>
          <w:jc w:val="center"/>
          <w:tblCellMar>
            <w:top w:w="0" w:type="dxa"/>
            <w:left w:w="10" w:type="dxa"/>
            <w:bottom w:w="0" w:type="dxa"/>
            <w:right w:w="10" w:type="dxa"/>
          </w:tblCellMar>
        </w:tblPrEx>
        <w:trPr>
          <w:trHeight w:val="0"/>
          <w:jc w:val="center"/>
        </w:trPr>
        <w:tc>
          <w:tcPr>
            <w:tcW w:w="218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信息安全服务负责人</w:t>
            </w:r>
          </w:p>
        </w:tc>
        <w:tc>
          <w:tcPr>
            <w:tcW w:w="169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运维项目经理</w:t>
            </w:r>
          </w:p>
        </w:tc>
        <w:tc>
          <w:tcPr>
            <w:tcW w:w="46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负责具体项目的安全计划、风险评估和事件处理</w:t>
            </w:r>
          </w:p>
        </w:tc>
      </w:tr>
      <w:tr>
        <w:tblPrEx>
          <w:tblW w:w="8522" w:type="dxa"/>
          <w:jc w:val="center"/>
          <w:tblCellMar>
            <w:top w:w="0" w:type="dxa"/>
            <w:left w:w="10" w:type="dxa"/>
            <w:bottom w:w="0" w:type="dxa"/>
            <w:right w:w="10" w:type="dxa"/>
          </w:tblCellMar>
        </w:tblPrEx>
        <w:trPr>
          <w:trHeight w:val="0"/>
          <w:jc w:val="center"/>
        </w:trPr>
        <w:tc>
          <w:tcPr>
            <w:tcW w:w="218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信息安全实施人员</w:t>
            </w:r>
          </w:p>
        </w:tc>
        <w:tc>
          <w:tcPr>
            <w:tcW w:w="169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运维工程师</w:t>
            </w:r>
          </w:p>
        </w:tc>
        <w:tc>
          <w:tcPr>
            <w:tcW w:w="46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负责安全规范的具体实施和执行</w:t>
            </w:r>
          </w:p>
        </w:tc>
      </w:tr>
      <w:tr>
        <w:tblPrEx>
          <w:tblW w:w="8522" w:type="dxa"/>
          <w:jc w:val="center"/>
          <w:tblCellMar>
            <w:top w:w="0" w:type="dxa"/>
            <w:left w:w="10" w:type="dxa"/>
            <w:bottom w:w="0" w:type="dxa"/>
            <w:right w:w="10" w:type="dxa"/>
          </w:tblCellMar>
        </w:tblPrEx>
        <w:trPr>
          <w:trHeight w:val="0"/>
          <w:jc w:val="center"/>
        </w:trPr>
        <w:tc>
          <w:tcPr>
            <w:tcW w:w="2184"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质量监督</w:t>
            </w:r>
          </w:p>
        </w:tc>
        <w:tc>
          <w:tcPr>
            <w:tcW w:w="169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产品质量部</w:t>
            </w:r>
          </w:p>
        </w:tc>
        <w:tc>
          <w:tcPr>
            <w:tcW w:w="4649"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负责安全过程的审计和改进</w:t>
            </w:r>
          </w:p>
        </w:tc>
      </w:tr>
    </w:tbl>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heading_9"/>
      <w:bookmarkStart w:id="21" w:name="_Toc30654"/>
      <w:r>
        <w:t>运维部经理（信息安全负责人）</w:t>
      </w:r>
      <w:bookmarkEnd w:id="20"/>
      <w:bookmarkEnd w:id="21"/>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负责本制度的制订、修改与管理；</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确定每次信息安全风险评估的范围，组建信息安全风险评估工作组；</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负责批准信息安全风险评估报告；</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负责整个安全管理流程的有效运作；</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监控安全管理流程。</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2" w:name="_Toc4098"/>
      <w:bookmarkStart w:id="23" w:name="heading_10"/>
      <w:r>
        <w:t>运维项目经理（信息安全服务负责人）</w:t>
      </w:r>
      <w:bookmarkEnd w:id="22"/>
      <w:bookmarkEnd w:id="23"/>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根据组织安全需求，开发与维护安全计划；</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处理与安全相关的问题和事件；</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确保满足SLA中指定的安全需求；</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负责安排项目中的信息安全风险评估；</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做好用户的沟通，协调关于信息安全的问题；</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完成包含流程结果、自评估及内部审计的信息安全风险评估报告。</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4" w:name="heading_11"/>
      <w:bookmarkStart w:id="25" w:name="_Toc11552"/>
      <w:r>
        <w:t>运维工程师（信息安全实施人员）</w:t>
      </w:r>
      <w:bookmarkEnd w:id="24"/>
      <w:bookmarkEnd w:id="25"/>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按照安全规范执行日常安全操作；</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发现安全事件时及时上报；</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参与安全风险评估；</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保护所负责系统的信息安全。</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6" w:name="_Toc16121"/>
      <w:bookmarkStart w:id="27" w:name="heading_12"/>
      <w:r>
        <w:t>产品质量部</w:t>
      </w:r>
      <w:bookmarkEnd w:id="26"/>
      <w:bookmarkEnd w:id="27"/>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pPr>
      <w:r>
        <w:t>对信息安全管理过程进行审计；</w:t>
      </w:r>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pPr>
      <w:r>
        <w:t>监督安全规范的执行情况；</w:t>
      </w:r>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pPr>
      <w:r>
        <w:t>参与安全事件的调查和复盘；</w:t>
      </w:r>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pPr>
      <w:r>
        <w:t>确保管理过程符合ITSS体系要求。</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8" w:name="_Toc15623"/>
      <w:bookmarkStart w:id="29" w:name="heading_13"/>
      <w:r>
        <w:t>过程重要控制点</w:t>
      </w:r>
      <w:bookmarkEnd w:id="28"/>
      <w:bookmarkEnd w:id="2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风险评估报告、信息安全管理规范、安全事件记录。</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0" w:name="heading_14"/>
      <w:bookmarkStart w:id="31" w:name="_Toc6781"/>
      <w:r>
        <w:t>术语</w:t>
      </w:r>
      <w:bookmarkEnd w:id="30"/>
      <w:bookmarkEnd w:id="31"/>
    </w:p>
    <w:p>
      <w:pPr>
        <w:pStyle w:val="a3"/>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pPr>
      <w:r>
        <w:t>机密性：指保护信息免受未经授权的访问和使用。</w:t>
      </w:r>
    </w:p>
    <w:p>
      <w:pPr>
        <w:pStyle w:val="a3"/>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pPr>
      <w:r>
        <w:t>完整性：指信息的准确性、完全性和及时性。</w:t>
      </w:r>
    </w:p>
    <w:p>
      <w:pPr>
        <w:pStyle w:val="a3"/>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pPr>
      <w:r>
        <w:t>可用性：指信息在任何约定的时间内都可以被访问，这取决于由信息处理系统所提供的持续性。</w:t>
      </w:r>
    </w:p>
    <w:p>
      <w:pPr>
        <w:pStyle w:val="a3"/>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pPr>
      <w:r>
        <w:t>信息安全风险评估：识别信息资产、评估面临的威胁和脆弱性、确定风险等级的过程。</w:t>
      </w:r>
    </w:p>
    <w:p>
      <w:pPr>
        <w:pStyle w:val="a3"/>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pPr>
      <w:r>
        <w:t>信息安全管理规范：为保障信息安全而制定的制度、流程和技术措施。</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2" w:name="heading_15"/>
      <w:bookmarkStart w:id="33" w:name="_Toc25572"/>
      <w:r>
        <w:t>安全方针</w:t>
      </w:r>
      <w:bookmarkEnd w:id="32"/>
      <w:bookmarkEnd w:id="3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遵循公司“统一规划、分级管理、积极防范、人人有责”的原则，按照公司统一部署，结合服务/经营活动的特点，采取一切必要的措施，加强信息安全体系的建设和推进管理。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具体安全方针包括：</w:t>
      </w:r>
    </w:p>
    <w:p>
      <w:pPr>
        <w:pStyle w:val="a3"/>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r>
        <w:t>统一规划：由公司统一规划信息安全体系，确保安全策略的一致性和有效性；</w:t>
      </w:r>
    </w:p>
    <w:p>
      <w:pPr>
        <w:pStyle w:val="a3"/>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r>
        <w:t>分级管理：根据信息资产的重要性，实行分级保护，对不同等级的信息采取不同的安全措施；</w:t>
      </w:r>
    </w:p>
    <w:p>
      <w:pPr>
        <w:pStyle w:val="a3"/>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r>
        <w:t>积极防范：以预防为主，通过风险评估、安全培训、技术防护等手段，主动防范安全风险；</w:t>
      </w:r>
    </w:p>
    <w:p>
      <w:pPr>
        <w:pStyle w:val="a3"/>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r>
        <w:t>人人有责：信息安全是全体员工的共同责任，每个员工都应遵守安全规定，保护公司信息资产</w:t>
      </w:r>
      <w:r>
        <w:rPr>
          <w:rStyle w:val="Char0"/>
        </w:rPr>
        <w:t>。</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4" w:name="_Toc26694"/>
      <w:bookmarkStart w:id="35" w:name="heading_16"/>
      <w:r>
        <w:t>流程</w:t>
      </w:r>
      <w:bookmarkEnd w:id="34"/>
      <w:bookmarkEnd w:id="3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信息安全活动划分为三个部分：规划、实施和监控。</w:t>
      </w:r>
    </w:p>
    <w:p>
      <w:pPr>
        <w:pStyle w:val="a3"/>
        <w:keepNext w:val="0"/>
        <w:keepLines w:val="0"/>
        <w:pageBreakBefore w:val="0"/>
        <w:widowControl w:val="0"/>
        <w:numPr>
          <w:ilvl w:val="0"/>
          <w:numId w:val="9"/>
        </w:numPr>
        <w:kinsoku w:val="0"/>
        <w:wordWrap/>
        <w:overflowPunct/>
        <w:topLinePunct w:val="0"/>
        <w:autoSpaceDE w:val="0"/>
        <w:autoSpaceDN w:val="0"/>
        <w:bidi w:val="0"/>
        <w:adjustRightInd w:val="0"/>
        <w:snapToGrid w:val="0"/>
        <w:textAlignment w:val="baseline"/>
      </w:pPr>
      <w:r>
        <w:t>规划：需求识别和分析、确定安全实施范围、信息安全风险评估、安全规范设计</w:t>
      </w:r>
    </w:p>
    <w:p>
      <w:pPr>
        <w:pStyle w:val="a3"/>
        <w:keepNext w:val="0"/>
        <w:keepLines w:val="0"/>
        <w:pageBreakBefore w:val="0"/>
        <w:widowControl w:val="0"/>
        <w:numPr>
          <w:ilvl w:val="0"/>
          <w:numId w:val="9"/>
        </w:numPr>
        <w:kinsoku w:val="0"/>
        <w:wordWrap/>
        <w:overflowPunct/>
        <w:topLinePunct w:val="0"/>
        <w:autoSpaceDE w:val="0"/>
        <w:autoSpaceDN w:val="0"/>
        <w:bidi w:val="0"/>
        <w:adjustRightInd w:val="0"/>
        <w:snapToGrid w:val="0"/>
        <w:textAlignment w:val="baseline"/>
      </w:pPr>
      <w:r>
        <w:t>实施：安全规范实施</w:t>
      </w:r>
    </w:p>
    <w:p>
      <w:pPr>
        <w:pStyle w:val="a3"/>
        <w:keepNext w:val="0"/>
        <w:keepLines w:val="0"/>
        <w:pageBreakBefore w:val="0"/>
        <w:widowControl w:val="0"/>
        <w:numPr>
          <w:ilvl w:val="0"/>
          <w:numId w:val="9"/>
        </w:numPr>
        <w:kinsoku w:val="0"/>
        <w:wordWrap/>
        <w:overflowPunct/>
        <w:topLinePunct w:val="0"/>
        <w:autoSpaceDE w:val="0"/>
        <w:autoSpaceDN w:val="0"/>
        <w:bidi w:val="0"/>
        <w:adjustRightInd w:val="0"/>
        <w:snapToGrid w:val="0"/>
        <w:textAlignment w:val="baseline"/>
      </w:pPr>
      <w:r>
        <w:t>监控：安全状况监控、维护安全规范、信息安全报告</w:t>
      </w:r>
    </w:p>
    <w:p>
      <w:pPr>
        <w:pStyle w:val="a3"/>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6" w:name="_Toc21049"/>
      <w:r>
        <w:t>信息安全管理流程图</w:t>
      </w:r>
      <w:bookmarkEnd w:id="36"/>
    </w:p>
    <w:p>
      <w:pPr>
        <w:pStyle w:val="a3"/>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eastAsia="zh-CN"/>
        </w:rPr>
      </w:pPr>
      <w:r>
        <w:rPr>
          <w:rFonts w:eastAsia="宋体" w:hint="eastAsia"/>
          <w:lang w:eastAsia="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221.3pt;width:136.5pt" o:oleicon="f" o:ole="" coordsize="21600,21600" o:preferrelative="t" filled="f" stroked="f">
            <v:imagedata r:id="rId4" o:title=""/>
            <o:lock v:ext="edit" aspectratio="t"/>
            <w10:anchorlock/>
          </v:shape>
          <o:OLEObject Type="Embed" ProgID="Visio.Drawing.15" ShapeID="_x0000_i1025" DrawAspect="Content" ObjectID="_1468075725" r:id="rId5"/>
        </w:objec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7" w:name="_Toc26511"/>
      <w:bookmarkStart w:id="38" w:name="heading_17"/>
      <w:r>
        <w:t>过程描述</w:t>
      </w:r>
      <w:bookmarkEnd w:id="37"/>
      <w:bookmarkEnd w:id="38"/>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9" w:name="_Toc31191"/>
      <w:bookmarkStart w:id="40" w:name="heading_18"/>
      <w:r>
        <w:t>需求识别和分析</w:t>
      </w:r>
      <w:bookmarkEnd w:id="39"/>
      <w:bookmarkEnd w:id="4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根据服务级别协议中签订的关于安全的详细说明，确定安全需求并进行分析。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服务级别协议中应该定义安全需求，在可能的情况下还应该以可测度的术语进行定义。该协议的安全部分应当确保客户所有的安全需求和标准能够实现，并且实现的结果能够进行明确的验证。</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需求识别的范围包括：</w:t>
      </w:r>
    </w:p>
    <w:p>
      <w:pPr>
        <w:pStyle w:val="a3"/>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1" w:name="_Toc32672"/>
      <w:r>
        <w:t>信息安全需求识别表</w:t>
      </w:r>
      <w:bookmarkEnd w:id="41"/>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420"/>
        <w:gridCol w:w="7102"/>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420"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需求类别</w:t>
            </w:r>
          </w:p>
        </w:tc>
        <w:tc>
          <w:tcPr>
            <w:tcW w:w="7102"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说明</w:t>
            </w:r>
          </w:p>
        </w:tc>
      </w:tr>
      <w:tr>
        <w:tblPrEx>
          <w:tblW w:w="8522" w:type="dxa"/>
          <w:jc w:val="center"/>
          <w:tblCellMar>
            <w:top w:w="0" w:type="dxa"/>
            <w:left w:w="10" w:type="dxa"/>
            <w:bottom w:w="0" w:type="dxa"/>
            <w:right w:w="10" w:type="dxa"/>
          </w:tblCellMar>
        </w:tblPrEx>
        <w:trPr>
          <w:trHeight w:val="0"/>
          <w:jc w:val="center"/>
        </w:trPr>
        <w:tc>
          <w:tcPr>
            <w:tcW w:w="142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人员安全</w:t>
            </w:r>
          </w:p>
        </w:tc>
        <w:tc>
          <w:tcPr>
            <w:tcW w:w="710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人员招聘、入职、在岗、离职阶段的安全要求</w:t>
            </w:r>
          </w:p>
        </w:tc>
      </w:tr>
      <w:tr>
        <w:tblPrEx>
          <w:tblW w:w="8522" w:type="dxa"/>
          <w:jc w:val="center"/>
          <w:tblCellMar>
            <w:top w:w="0" w:type="dxa"/>
            <w:left w:w="10" w:type="dxa"/>
            <w:bottom w:w="0" w:type="dxa"/>
            <w:right w:w="10" w:type="dxa"/>
          </w:tblCellMar>
        </w:tblPrEx>
        <w:trPr>
          <w:trHeight w:val="0"/>
          <w:jc w:val="center"/>
        </w:trPr>
        <w:tc>
          <w:tcPr>
            <w:tcW w:w="142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数据安全</w:t>
            </w:r>
          </w:p>
        </w:tc>
        <w:tc>
          <w:tcPr>
            <w:tcW w:w="710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数据分类、数据加密、数据传输、数据存储、数据销毁</w:t>
            </w:r>
          </w:p>
        </w:tc>
      </w:tr>
      <w:tr>
        <w:tblPrEx>
          <w:tblW w:w="8522" w:type="dxa"/>
          <w:jc w:val="center"/>
          <w:tblCellMar>
            <w:top w:w="0" w:type="dxa"/>
            <w:left w:w="10" w:type="dxa"/>
            <w:bottom w:w="0" w:type="dxa"/>
            <w:right w:w="10" w:type="dxa"/>
          </w:tblCellMar>
        </w:tblPrEx>
        <w:trPr>
          <w:trHeight w:val="0"/>
          <w:jc w:val="center"/>
        </w:trPr>
        <w:tc>
          <w:tcPr>
            <w:tcW w:w="142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机房环境</w:t>
            </w:r>
          </w:p>
        </w:tc>
        <w:tc>
          <w:tcPr>
            <w:tcW w:w="710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物理访问控制、环境监控、温湿度控制</w:t>
            </w:r>
          </w:p>
        </w:tc>
      </w:tr>
      <w:tr>
        <w:tblPrEx>
          <w:tblW w:w="8522" w:type="dxa"/>
          <w:jc w:val="center"/>
          <w:tblCellMar>
            <w:top w:w="0" w:type="dxa"/>
            <w:left w:w="10" w:type="dxa"/>
            <w:bottom w:w="0" w:type="dxa"/>
            <w:right w:w="10" w:type="dxa"/>
          </w:tblCellMar>
        </w:tblPrEx>
        <w:trPr>
          <w:trHeight w:val="0"/>
          <w:jc w:val="center"/>
        </w:trPr>
        <w:tc>
          <w:tcPr>
            <w:tcW w:w="142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设备安全</w:t>
            </w:r>
          </w:p>
        </w:tc>
        <w:tc>
          <w:tcPr>
            <w:tcW w:w="710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设备准入、设备使用、设备维护、设备报废</w:t>
            </w:r>
          </w:p>
        </w:tc>
      </w:tr>
      <w:tr>
        <w:tblPrEx>
          <w:tblW w:w="8522" w:type="dxa"/>
          <w:jc w:val="center"/>
          <w:tblCellMar>
            <w:top w:w="0" w:type="dxa"/>
            <w:left w:w="10" w:type="dxa"/>
            <w:bottom w:w="0" w:type="dxa"/>
            <w:right w:w="10" w:type="dxa"/>
          </w:tblCellMar>
        </w:tblPrEx>
        <w:trPr>
          <w:trHeight w:val="0"/>
          <w:jc w:val="center"/>
        </w:trPr>
        <w:tc>
          <w:tcPr>
            <w:tcW w:w="142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系统安全</w:t>
            </w:r>
          </w:p>
        </w:tc>
        <w:tc>
          <w:tcPr>
            <w:tcW w:w="710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系统访问控制、账号管理、补丁管理、日志审计</w:t>
            </w:r>
          </w:p>
        </w:tc>
      </w:tr>
      <w:tr>
        <w:tblPrEx>
          <w:tblW w:w="8522" w:type="dxa"/>
          <w:jc w:val="center"/>
          <w:tblCellMar>
            <w:top w:w="0" w:type="dxa"/>
            <w:left w:w="10" w:type="dxa"/>
            <w:bottom w:w="0" w:type="dxa"/>
            <w:right w:w="10" w:type="dxa"/>
          </w:tblCellMar>
        </w:tblPrEx>
        <w:trPr>
          <w:trHeight w:val="0"/>
          <w:jc w:val="center"/>
        </w:trPr>
        <w:tc>
          <w:tcPr>
            <w:tcW w:w="1420"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网络安全</w:t>
            </w:r>
          </w:p>
        </w:tc>
        <w:tc>
          <w:tcPr>
            <w:tcW w:w="7102"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网络隔离、防火墙策略、入侵检测、VPN接入</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2" w:name="heading_19"/>
      <w:bookmarkStart w:id="43" w:name="_Toc12868"/>
      <w:r>
        <w:t>确定安全实施范围</w:t>
      </w:r>
      <w:bookmarkEnd w:id="42"/>
      <w:bookmarkEnd w:id="4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根据安全需求的识别情况确定安全实施范围。安全实施范围包括列为相应安全等级的数据、人员、机房、设备、系统等。</w:t>
      </w:r>
    </w:p>
    <w:p>
      <w:pPr>
        <w:pStyle w:val="a3"/>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eastAsia"/>
          <w:lang w:val="en-US" w:eastAsia="zh-CN"/>
        </w:rPr>
        <w:instrText>STYLEREF "柴_标题1"\n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eastAsia"/>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44" w:name="_Toc23804"/>
      <w:r>
        <w:rPr>
          <w:rFonts w:hint="eastAsia"/>
          <w:lang w:val="en-US" w:eastAsia="zh-CN"/>
        </w:rPr>
        <w:t>安全实施范围确定表</w:t>
      </w:r>
      <w:bookmarkEnd w:id="44"/>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2209"/>
        <w:gridCol w:w="1577"/>
        <w:gridCol w:w="4736"/>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2209"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类别</w:t>
            </w:r>
          </w:p>
        </w:tc>
        <w:tc>
          <w:tcPr>
            <w:tcW w:w="1577"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安全等级</w:t>
            </w:r>
          </w:p>
        </w:tc>
        <w:tc>
          <w:tcPr>
            <w:tcW w:w="473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实施范围</w:t>
            </w:r>
          </w:p>
        </w:tc>
      </w:tr>
      <w:tr>
        <w:tblPrEx>
          <w:tblW w:w="8522" w:type="dxa"/>
          <w:jc w:val="center"/>
          <w:tblCellMar>
            <w:top w:w="0" w:type="dxa"/>
            <w:left w:w="10" w:type="dxa"/>
            <w:bottom w:w="0" w:type="dxa"/>
            <w:right w:w="10" w:type="dxa"/>
          </w:tblCellMar>
        </w:tblPrEx>
        <w:trPr>
          <w:trHeight w:val="0"/>
          <w:jc w:val="center"/>
        </w:trPr>
        <w:tc>
          <w:tcPr>
            <w:tcW w:w="220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客户数据</w:t>
            </w:r>
          </w:p>
        </w:tc>
        <w:tc>
          <w:tcPr>
            <w:tcW w:w="157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高</w:t>
            </w:r>
          </w:p>
        </w:tc>
        <w:tc>
          <w:tcPr>
            <w:tcW w:w="473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所有客户业务数据、配置信息</w:t>
            </w:r>
          </w:p>
        </w:tc>
      </w:tr>
      <w:tr>
        <w:tblPrEx>
          <w:tblW w:w="8522" w:type="dxa"/>
          <w:jc w:val="center"/>
          <w:tblCellMar>
            <w:top w:w="0" w:type="dxa"/>
            <w:left w:w="10" w:type="dxa"/>
            <w:bottom w:w="0" w:type="dxa"/>
            <w:right w:w="10" w:type="dxa"/>
          </w:tblCellMar>
        </w:tblPrEx>
        <w:trPr>
          <w:trHeight w:val="0"/>
          <w:jc w:val="center"/>
        </w:trPr>
        <w:tc>
          <w:tcPr>
            <w:tcW w:w="220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系统账号</w:t>
            </w:r>
          </w:p>
        </w:tc>
        <w:tc>
          <w:tcPr>
            <w:tcW w:w="157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高</w:t>
            </w:r>
          </w:p>
        </w:tc>
        <w:tc>
          <w:tcPr>
            <w:tcW w:w="473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服务器、数据库、应用系统账号</w:t>
            </w:r>
          </w:p>
        </w:tc>
      </w:tr>
      <w:tr>
        <w:tblPrEx>
          <w:tblW w:w="8522" w:type="dxa"/>
          <w:jc w:val="center"/>
          <w:tblCellMar>
            <w:top w:w="0" w:type="dxa"/>
            <w:left w:w="10" w:type="dxa"/>
            <w:bottom w:w="0" w:type="dxa"/>
            <w:right w:w="10" w:type="dxa"/>
          </w:tblCellMar>
        </w:tblPrEx>
        <w:trPr>
          <w:trHeight w:val="0"/>
          <w:jc w:val="center"/>
        </w:trPr>
        <w:tc>
          <w:tcPr>
            <w:tcW w:w="220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公司内部资料</w:t>
            </w:r>
          </w:p>
        </w:tc>
        <w:tc>
          <w:tcPr>
            <w:tcW w:w="157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中</w:t>
            </w:r>
          </w:p>
        </w:tc>
        <w:tc>
          <w:tcPr>
            <w:tcW w:w="473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制度文档、技术方案、合同</w:t>
            </w:r>
          </w:p>
        </w:tc>
      </w:tr>
      <w:tr>
        <w:tblPrEx>
          <w:tblW w:w="8522" w:type="dxa"/>
          <w:jc w:val="center"/>
          <w:tblCellMar>
            <w:top w:w="0" w:type="dxa"/>
            <w:left w:w="10" w:type="dxa"/>
            <w:bottom w:w="0" w:type="dxa"/>
            <w:right w:w="10" w:type="dxa"/>
          </w:tblCellMar>
        </w:tblPrEx>
        <w:trPr>
          <w:trHeight w:val="0"/>
          <w:jc w:val="center"/>
        </w:trPr>
        <w:tc>
          <w:tcPr>
            <w:tcW w:w="220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运维工具</w:t>
            </w:r>
          </w:p>
        </w:tc>
        <w:tc>
          <w:tcPr>
            <w:tcW w:w="157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中</w:t>
            </w:r>
          </w:p>
        </w:tc>
        <w:tc>
          <w:tcPr>
            <w:tcW w:w="473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监控工具、管理软件、脚本</w:t>
            </w:r>
          </w:p>
        </w:tc>
      </w:tr>
      <w:tr>
        <w:tblPrEx>
          <w:tblW w:w="8522" w:type="dxa"/>
          <w:jc w:val="center"/>
          <w:tblCellMar>
            <w:top w:w="0" w:type="dxa"/>
            <w:left w:w="10" w:type="dxa"/>
            <w:bottom w:w="0" w:type="dxa"/>
            <w:right w:w="10" w:type="dxa"/>
          </w:tblCellMar>
        </w:tblPrEx>
        <w:trPr>
          <w:trHeight w:val="0"/>
          <w:jc w:val="center"/>
        </w:trPr>
        <w:tc>
          <w:tcPr>
            <w:tcW w:w="2209"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办公设备</w:t>
            </w:r>
          </w:p>
        </w:tc>
        <w:tc>
          <w:tcPr>
            <w:tcW w:w="1577"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低</w:t>
            </w:r>
          </w:p>
        </w:tc>
        <w:tc>
          <w:tcPr>
            <w:tcW w:w="473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办公电脑、打印机</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5" w:name="_Toc7203"/>
      <w:bookmarkStart w:id="46" w:name="heading_20"/>
      <w:r>
        <w:t>信息安全风险评估</w:t>
      </w:r>
      <w:bookmarkEnd w:id="45"/>
      <w:bookmarkEnd w:id="4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服务管理人员根据确定的安全实施范围进行风险分析与评估工作，并提交风险分析与评估报告。</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风险评估包括识别安全实施范围内的资产状况、资产面临的威胁、现在使用的技术方法和管理规范，并进行总体分析得出风险的等级，编制《风险评估报告》。</w:t>
      </w:r>
    </w:p>
    <w:p>
      <w:pPr>
        <w:pStyle w:val="a3"/>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eastAsia"/>
          <w:lang w:val="en-US" w:eastAsia="zh-CN"/>
        </w:rPr>
        <w:instrText>STYLEREF "柴_标题1"\n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eastAsia"/>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47" w:name="_Toc13894"/>
      <w:r>
        <w:rPr>
          <w:rFonts w:hint="eastAsia"/>
          <w:lang w:val="en-US" w:eastAsia="zh-CN"/>
        </w:rPr>
        <w:t>风险评估过程表</w:t>
      </w:r>
      <w:bookmarkEnd w:id="47"/>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34"/>
        <w:gridCol w:w="1694"/>
        <w:gridCol w:w="6094"/>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34"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步骤</w:t>
            </w:r>
          </w:p>
        </w:tc>
        <w:tc>
          <w:tcPr>
            <w:tcW w:w="169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活动</w:t>
            </w:r>
          </w:p>
        </w:tc>
        <w:tc>
          <w:tcPr>
            <w:tcW w:w="6094"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输出</w:t>
            </w:r>
          </w:p>
        </w:tc>
      </w:tr>
      <w:tr>
        <w:tblPrEx>
          <w:tblW w:w="8522" w:type="dxa"/>
          <w:jc w:val="center"/>
          <w:tblCellMar>
            <w:top w:w="0" w:type="dxa"/>
            <w:left w:w="10" w:type="dxa"/>
            <w:bottom w:w="0" w:type="dxa"/>
            <w:right w:w="10" w:type="dxa"/>
          </w:tblCellMar>
        </w:tblPrEx>
        <w:trPr>
          <w:trHeight w:val="0"/>
          <w:jc w:val="center"/>
        </w:trPr>
        <w:tc>
          <w:tcPr>
            <w:tcW w:w="73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169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资产识别</w:t>
            </w:r>
          </w:p>
        </w:tc>
        <w:tc>
          <w:tcPr>
            <w:tcW w:w="609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识别需要保护的信息资产、《信息资产清单》</w:t>
            </w:r>
          </w:p>
        </w:tc>
      </w:tr>
      <w:tr>
        <w:tblPrEx>
          <w:tblW w:w="8522" w:type="dxa"/>
          <w:jc w:val="center"/>
          <w:tblCellMar>
            <w:top w:w="0" w:type="dxa"/>
            <w:left w:w="10" w:type="dxa"/>
            <w:bottom w:w="0" w:type="dxa"/>
            <w:right w:w="10" w:type="dxa"/>
          </w:tblCellMar>
        </w:tblPrEx>
        <w:trPr>
          <w:trHeight w:val="0"/>
          <w:jc w:val="center"/>
        </w:trPr>
        <w:tc>
          <w:tcPr>
            <w:tcW w:w="73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169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威胁识别</w:t>
            </w:r>
          </w:p>
        </w:tc>
        <w:tc>
          <w:tcPr>
            <w:tcW w:w="609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识别资产可能面临的威胁、《信息资产脆弱性和威胁表》</w:t>
            </w:r>
          </w:p>
        </w:tc>
      </w:tr>
      <w:tr>
        <w:tblPrEx>
          <w:tblW w:w="8522" w:type="dxa"/>
          <w:jc w:val="center"/>
          <w:tblCellMar>
            <w:top w:w="0" w:type="dxa"/>
            <w:left w:w="10" w:type="dxa"/>
            <w:bottom w:w="0" w:type="dxa"/>
            <w:right w:w="10" w:type="dxa"/>
          </w:tblCellMar>
        </w:tblPrEx>
        <w:trPr>
          <w:trHeight w:val="0"/>
          <w:jc w:val="center"/>
        </w:trPr>
        <w:tc>
          <w:tcPr>
            <w:tcW w:w="73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169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脆弱性识别</w:t>
            </w:r>
          </w:p>
        </w:tc>
        <w:tc>
          <w:tcPr>
            <w:tcW w:w="609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识别资产存在的脆弱性、《信息资产脆弱性和威胁表》</w:t>
            </w:r>
          </w:p>
        </w:tc>
      </w:tr>
      <w:tr>
        <w:tblPrEx>
          <w:tblW w:w="8522" w:type="dxa"/>
          <w:jc w:val="center"/>
          <w:tblCellMar>
            <w:top w:w="0" w:type="dxa"/>
            <w:left w:w="10" w:type="dxa"/>
            <w:bottom w:w="0" w:type="dxa"/>
            <w:right w:w="10" w:type="dxa"/>
          </w:tblCellMar>
        </w:tblPrEx>
        <w:trPr>
          <w:trHeight w:val="0"/>
          <w:jc w:val="center"/>
        </w:trPr>
        <w:tc>
          <w:tcPr>
            <w:tcW w:w="73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169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风险分析</w:t>
            </w:r>
          </w:p>
        </w:tc>
        <w:tc>
          <w:tcPr>
            <w:tcW w:w="609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分析风险发生的可能性和影响程度、《信息资产风险评估表》</w:t>
            </w:r>
          </w:p>
        </w:tc>
      </w:tr>
      <w:tr>
        <w:tblPrEx>
          <w:tblW w:w="8522" w:type="dxa"/>
          <w:jc w:val="center"/>
          <w:tblCellMar>
            <w:top w:w="0" w:type="dxa"/>
            <w:left w:w="10" w:type="dxa"/>
            <w:bottom w:w="0" w:type="dxa"/>
            <w:right w:w="10" w:type="dxa"/>
          </w:tblCellMar>
        </w:tblPrEx>
        <w:trPr>
          <w:trHeight w:val="0"/>
          <w:jc w:val="center"/>
        </w:trPr>
        <w:tc>
          <w:tcPr>
            <w:tcW w:w="73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5</w:t>
            </w:r>
          </w:p>
        </w:tc>
        <w:tc>
          <w:tcPr>
            <w:tcW w:w="169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风险处置</w:t>
            </w:r>
          </w:p>
        </w:tc>
        <w:tc>
          <w:tcPr>
            <w:tcW w:w="609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制定风险处置措施、《风险处置计划表》</w:t>
            </w:r>
          </w:p>
        </w:tc>
      </w:tr>
      <w:tr>
        <w:tblPrEx>
          <w:tblW w:w="8522" w:type="dxa"/>
          <w:jc w:val="center"/>
          <w:tblCellMar>
            <w:top w:w="0" w:type="dxa"/>
            <w:left w:w="10" w:type="dxa"/>
            <w:bottom w:w="0" w:type="dxa"/>
            <w:right w:w="10" w:type="dxa"/>
          </w:tblCellMar>
        </w:tblPrEx>
        <w:trPr>
          <w:trHeight w:val="0"/>
          <w:jc w:val="center"/>
        </w:trPr>
        <w:tc>
          <w:tcPr>
            <w:tcW w:w="734"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6</w:t>
            </w:r>
          </w:p>
        </w:tc>
        <w:tc>
          <w:tcPr>
            <w:tcW w:w="169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残余风险评估</w:t>
            </w:r>
          </w:p>
        </w:tc>
        <w:tc>
          <w:tcPr>
            <w:tcW w:w="6094"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评估处置后的残余风险、《残余风险报告》</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风险评估应至少每年进行一次，或在重大变更、新服务上线时进行。</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8" w:name="heading_21"/>
      <w:bookmarkStart w:id="49" w:name="_Toc16963"/>
      <w:r>
        <w:t>设计安全规范</w:t>
      </w:r>
      <w:bookmarkEnd w:id="48"/>
      <w:bookmarkEnd w:id="4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根据《风险评估报告》，服务负责人制定和编写《信息安全管理规范》。并根据信息安全规范制定信息安全策略、针对个人的保密协议、岗位职责说明等。</w:t>
      </w:r>
    </w:p>
    <w:p>
      <w:pPr>
        <w:pStyle w:val="a3"/>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eastAsia"/>
          <w:lang w:val="en-US" w:eastAsia="zh-CN"/>
        </w:rPr>
        <w:instrText>STYLEREF "柴_标题1"\n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eastAsia"/>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50" w:name="_Toc12740"/>
      <w:r>
        <w:rPr>
          <w:rFonts w:hint="eastAsia"/>
          <w:lang w:val="en-US" w:eastAsia="zh-CN"/>
        </w:rPr>
        <w:t>安全规范内容表</w:t>
      </w:r>
      <w:bookmarkEnd w:id="50"/>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2486"/>
        <w:gridCol w:w="6036"/>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2486"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规范类别</w:t>
            </w:r>
          </w:p>
        </w:tc>
        <w:tc>
          <w:tcPr>
            <w:tcW w:w="6036"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规范内容</w:t>
            </w:r>
          </w:p>
        </w:tc>
      </w:tr>
      <w:tr>
        <w:tblPrEx>
          <w:tblW w:w="8522" w:type="dxa"/>
          <w:jc w:val="center"/>
          <w:tblCellMar>
            <w:top w:w="0" w:type="dxa"/>
            <w:left w:w="10" w:type="dxa"/>
            <w:bottom w:w="0" w:type="dxa"/>
            <w:right w:w="10" w:type="dxa"/>
          </w:tblCellMar>
        </w:tblPrEx>
        <w:trPr>
          <w:trHeight w:val="0"/>
          <w:jc w:val="center"/>
        </w:trPr>
        <w:tc>
          <w:tcPr>
            <w:tcW w:w="248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人员安全规范</w:t>
            </w:r>
          </w:p>
        </w:tc>
        <w:tc>
          <w:tcPr>
            <w:tcW w:w="603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岗位职责、保密协议、安全意识培训</w:t>
            </w:r>
          </w:p>
        </w:tc>
      </w:tr>
      <w:tr>
        <w:tblPrEx>
          <w:tblW w:w="8522" w:type="dxa"/>
          <w:jc w:val="center"/>
          <w:tblCellMar>
            <w:top w:w="0" w:type="dxa"/>
            <w:left w:w="10" w:type="dxa"/>
            <w:bottom w:w="0" w:type="dxa"/>
            <w:right w:w="10" w:type="dxa"/>
          </w:tblCellMar>
        </w:tblPrEx>
        <w:trPr>
          <w:trHeight w:val="0"/>
          <w:jc w:val="center"/>
        </w:trPr>
        <w:tc>
          <w:tcPr>
            <w:tcW w:w="248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访问控制规范</w:t>
            </w:r>
          </w:p>
        </w:tc>
        <w:tc>
          <w:tcPr>
            <w:tcW w:w="603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账号管理、权限管理、密码策略</w:t>
            </w:r>
          </w:p>
        </w:tc>
      </w:tr>
      <w:tr>
        <w:tblPrEx>
          <w:tblW w:w="8522" w:type="dxa"/>
          <w:jc w:val="center"/>
          <w:tblCellMar>
            <w:top w:w="0" w:type="dxa"/>
            <w:left w:w="10" w:type="dxa"/>
            <w:bottom w:w="0" w:type="dxa"/>
            <w:right w:w="10" w:type="dxa"/>
          </w:tblCellMar>
        </w:tblPrEx>
        <w:trPr>
          <w:trHeight w:val="0"/>
          <w:jc w:val="center"/>
        </w:trPr>
        <w:tc>
          <w:tcPr>
            <w:tcW w:w="248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数据安全规范</w:t>
            </w:r>
          </w:p>
        </w:tc>
        <w:tc>
          <w:tcPr>
            <w:tcW w:w="603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数据分类、数据加密、数据备份</w:t>
            </w:r>
          </w:p>
        </w:tc>
      </w:tr>
      <w:tr>
        <w:tblPrEx>
          <w:tblW w:w="8522" w:type="dxa"/>
          <w:jc w:val="center"/>
          <w:tblCellMar>
            <w:top w:w="0" w:type="dxa"/>
            <w:left w:w="10" w:type="dxa"/>
            <w:bottom w:w="0" w:type="dxa"/>
            <w:right w:w="10" w:type="dxa"/>
          </w:tblCellMar>
        </w:tblPrEx>
        <w:trPr>
          <w:trHeight w:val="0"/>
          <w:jc w:val="center"/>
        </w:trPr>
        <w:tc>
          <w:tcPr>
            <w:tcW w:w="248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系统安全规范</w:t>
            </w:r>
          </w:p>
        </w:tc>
        <w:tc>
          <w:tcPr>
            <w:tcW w:w="603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系统加固、补丁管理、日志审计</w:t>
            </w:r>
          </w:p>
        </w:tc>
      </w:tr>
      <w:tr>
        <w:tblPrEx>
          <w:tblW w:w="8522" w:type="dxa"/>
          <w:jc w:val="center"/>
          <w:tblCellMar>
            <w:top w:w="0" w:type="dxa"/>
            <w:left w:w="10" w:type="dxa"/>
            <w:bottom w:w="0" w:type="dxa"/>
            <w:right w:w="10" w:type="dxa"/>
          </w:tblCellMar>
        </w:tblPrEx>
        <w:trPr>
          <w:trHeight w:val="0"/>
          <w:jc w:val="center"/>
        </w:trPr>
        <w:tc>
          <w:tcPr>
            <w:tcW w:w="248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网络安全规范</w:t>
            </w:r>
          </w:p>
        </w:tc>
        <w:tc>
          <w:tcPr>
            <w:tcW w:w="603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网络隔离、防火墙策略、VPN接入</w:t>
            </w:r>
          </w:p>
        </w:tc>
      </w:tr>
      <w:tr>
        <w:tblPrEx>
          <w:tblW w:w="8522" w:type="dxa"/>
          <w:jc w:val="center"/>
          <w:tblCellMar>
            <w:top w:w="0" w:type="dxa"/>
            <w:left w:w="10" w:type="dxa"/>
            <w:bottom w:w="0" w:type="dxa"/>
            <w:right w:w="10" w:type="dxa"/>
          </w:tblCellMar>
        </w:tblPrEx>
        <w:trPr>
          <w:trHeight w:val="0"/>
          <w:jc w:val="center"/>
        </w:trPr>
        <w:tc>
          <w:tcPr>
            <w:tcW w:w="248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物理安全规范</w:t>
            </w:r>
          </w:p>
        </w:tc>
        <w:tc>
          <w:tcPr>
            <w:tcW w:w="603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机房出入管理、设备上架、设备报废</w:t>
            </w:r>
          </w:p>
        </w:tc>
      </w:tr>
      <w:tr>
        <w:tblPrEx>
          <w:tblW w:w="8522" w:type="dxa"/>
          <w:jc w:val="center"/>
          <w:tblCellMar>
            <w:top w:w="0" w:type="dxa"/>
            <w:left w:w="10" w:type="dxa"/>
            <w:bottom w:w="0" w:type="dxa"/>
            <w:right w:w="10" w:type="dxa"/>
          </w:tblCellMar>
        </w:tblPrEx>
        <w:trPr>
          <w:trHeight w:val="0"/>
          <w:jc w:val="center"/>
        </w:trPr>
        <w:tc>
          <w:tcPr>
            <w:tcW w:w="2486"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应急响应规范</w:t>
            </w:r>
          </w:p>
        </w:tc>
        <w:tc>
          <w:tcPr>
            <w:tcW w:w="6036"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安全事件分级、响应流程、事件上报</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51" w:name="_Toc3349"/>
      <w:bookmarkStart w:id="52" w:name="heading_22"/>
      <w:r>
        <w:t>实施安全规范</w:t>
      </w:r>
      <w:bookmarkEnd w:id="51"/>
      <w:bookmarkEnd w:id="5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在设计好安全规范后，日常需按照安全规范来实施安全管理。</w:t>
      </w:r>
    </w:p>
    <w:p>
      <w:pPr>
        <w:pStyle w:val="a3"/>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eastAsia"/>
          <w:lang w:val="en-US" w:eastAsia="zh-CN"/>
        </w:rPr>
        <w:instrText>STYLEREF "柴_标题1"\n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eastAsia"/>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53" w:name="_Toc21172"/>
      <w:r>
        <w:rPr>
          <w:rFonts w:hint="eastAsia"/>
          <w:lang w:val="en-US" w:eastAsia="zh-CN"/>
        </w:rPr>
        <w:t>安全规范实施表</w:t>
      </w:r>
      <w:bookmarkEnd w:id="53"/>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214"/>
        <w:gridCol w:w="7308"/>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214"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实施领域</w:t>
            </w:r>
          </w:p>
        </w:tc>
        <w:tc>
          <w:tcPr>
            <w:tcW w:w="7308"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实施内容</w:t>
            </w:r>
          </w:p>
        </w:tc>
      </w:tr>
      <w:tr>
        <w:tblPrEx>
          <w:tblW w:w="8522" w:type="dxa"/>
          <w:jc w:val="center"/>
          <w:tblCellMar>
            <w:top w:w="0" w:type="dxa"/>
            <w:left w:w="10" w:type="dxa"/>
            <w:bottom w:w="0" w:type="dxa"/>
            <w:right w:w="10" w:type="dxa"/>
          </w:tblCellMar>
        </w:tblPrEx>
        <w:trPr>
          <w:trHeight w:val="0"/>
          <w:jc w:val="center"/>
        </w:trPr>
        <w:tc>
          <w:tcPr>
            <w:tcW w:w="1214"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人员安全</w:t>
            </w:r>
          </w:p>
        </w:tc>
        <w:tc>
          <w:tcPr>
            <w:tcW w:w="730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岗位职责中明确安全责任；新员工入职签订保密协议；定期组织安全培训；员工离职时回收权限</w:t>
            </w:r>
          </w:p>
        </w:tc>
      </w:tr>
      <w:tr>
        <w:tblPrEx>
          <w:tblW w:w="8522" w:type="dxa"/>
          <w:jc w:val="center"/>
          <w:tblCellMar>
            <w:top w:w="0" w:type="dxa"/>
            <w:left w:w="10" w:type="dxa"/>
            <w:bottom w:w="0" w:type="dxa"/>
            <w:right w:w="10" w:type="dxa"/>
          </w:tblCellMar>
        </w:tblPrEx>
        <w:trPr>
          <w:trHeight w:val="0"/>
          <w:jc w:val="center"/>
        </w:trPr>
        <w:tc>
          <w:tcPr>
            <w:tcW w:w="1214"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责任划分</w:t>
            </w:r>
          </w:p>
        </w:tc>
        <w:tc>
          <w:tcPr>
            <w:tcW w:w="730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关键岗位实行职责分离；重要操作需要双人复核</w:t>
            </w:r>
          </w:p>
        </w:tc>
      </w:tr>
      <w:tr>
        <w:tblPrEx>
          <w:tblW w:w="8522" w:type="dxa"/>
          <w:jc w:val="center"/>
          <w:tblCellMar>
            <w:top w:w="0" w:type="dxa"/>
            <w:left w:w="10" w:type="dxa"/>
            <w:bottom w:w="0" w:type="dxa"/>
            <w:right w:w="10" w:type="dxa"/>
          </w:tblCellMar>
        </w:tblPrEx>
        <w:trPr>
          <w:trHeight w:val="0"/>
          <w:jc w:val="center"/>
        </w:trPr>
        <w:tc>
          <w:tcPr>
            <w:tcW w:w="1214"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操作规范</w:t>
            </w:r>
          </w:p>
        </w:tc>
        <w:tc>
          <w:tcPr>
            <w:tcW w:w="730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制定书面操作指引；规范系统运维操作流程</w:t>
            </w:r>
          </w:p>
        </w:tc>
      </w:tr>
      <w:tr>
        <w:tblPrEx>
          <w:tblW w:w="8522" w:type="dxa"/>
          <w:jc w:val="center"/>
          <w:tblCellMar>
            <w:top w:w="0" w:type="dxa"/>
            <w:left w:w="10" w:type="dxa"/>
            <w:bottom w:w="0" w:type="dxa"/>
            <w:right w:w="10" w:type="dxa"/>
          </w:tblCellMar>
        </w:tblPrEx>
        <w:trPr>
          <w:trHeight w:val="0"/>
          <w:jc w:val="center"/>
        </w:trPr>
        <w:tc>
          <w:tcPr>
            <w:tcW w:w="1214"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开发测试</w:t>
            </w:r>
          </w:p>
        </w:tc>
        <w:tc>
          <w:tcPr>
            <w:tcW w:w="730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开发和测试环境与实际运营环境分离；代码安全审查</w:t>
            </w:r>
          </w:p>
        </w:tc>
      </w:tr>
      <w:tr>
        <w:tblPrEx>
          <w:tblW w:w="8522" w:type="dxa"/>
          <w:jc w:val="center"/>
          <w:tblCellMar>
            <w:top w:w="0" w:type="dxa"/>
            <w:left w:w="10" w:type="dxa"/>
            <w:bottom w:w="0" w:type="dxa"/>
            <w:right w:w="10" w:type="dxa"/>
          </w:tblCellMar>
        </w:tblPrEx>
        <w:trPr>
          <w:trHeight w:val="0"/>
          <w:jc w:val="center"/>
        </w:trPr>
        <w:tc>
          <w:tcPr>
            <w:tcW w:w="1214"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事件处理</w:t>
            </w:r>
          </w:p>
        </w:tc>
        <w:tc>
          <w:tcPr>
            <w:tcW w:w="730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安全事件按《事件管理程序》处理</w:t>
            </w:r>
          </w:p>
        </w:tc>
      </w:tr>
      <w:tr>
        <w:tblPrEx>
          <w:tblW w:w="8522" w:type="dxa"/>
          <w:jc w:val="center"/>
          <w:tblCellMar>
            <w:top w:w="0" w:type="dxa"/>
            <w:left w:w="10" w:type="dxa"/>
            <w:bottom w:w="0" w:type="dxa"/>
            <w:right w:w="10" w:type="dxa"/>
          </w:tblCellMar>
        </w:tblPrEx>
        <w:trPr>
          <w:trHeight w:val="0"/>
          <w:jc w:val="center"/>
        </w:trPr>
        <w:tc>
          <w:tcPr>
            <w:tcW w:w="1214"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病毒防护</w:t>
            </w:r>
          </w:p>
        </w:tc>
        <w:tc>
          <w:tcPr>
            <w:tcW w:w="730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终端和服务器安装防病毒软件；定期更新病毒库</w:t>
            </w:r>
          </w:p>
        </w:tc>
      </w:tr>
      <w:tr>
        <w:tblPrEx>
          <w:tblW w:w="8522" w:type="dxa"/>
          <w:jc w:val="center"/>
          <w:tblCellMar>
            <w:top w:w="0" w:type="dxa"/>
            <w:left w:w="10" w:type="dxa"/>
            <w:bottom w:w="0" w:type="dxa"/>
            <w:right w:w="10" w:type="dxa"/>
          </w:tblCellMar>
        </w:tblPrEx>
        <w:trPr>
          <w:trHeight w:val="0"/>
          <w:jc w:val="center"/>
        </w:trPr>
        <w:tc>
          <w:tcPr>
            <w:tcW w:w="1214"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系统安全</w:t>
            </w:r>
          </w:p>
        </w:tc>
        <w:tc>
          <w:tcPr>
            <w:tcW w:w="730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操作系统和应用系统及时更新补丁；关闭不必要的服务和端口</w:t>
            </w:r>
          </w:p>
        </w:tc>
      </w:tr>
      <w:tr>
        <w:tblPrEx>
          <w:tblW w:w="8522" w:type="dxa"/>
          <w:jc w:val="center"/>
          <w:tblCellMar>
            <w:top w:w="0" w:type="dxa"/>
            <w:left w:w="10" w:type="dxa"/>
            <w:bottom w:w="0" w:type="dxa"/>
            <w:right w:w="10" w:type="dxa"/>
          </w:tblCellMar>
        </w:tblPrEx>
        <w:trPr>
          <w:trHeight w:val="0"/>
          <w:jc w:val="center"/>
        </w:trPr>
        <w:tc>
          <w:tcPr>
            <w:tcW w:w="1214"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网络安全</w:t>
            </w:r>
          </w:p>
        </w:tc>
        <w:tc>
          <w:tcPr>
            <w:tcW w:w="730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网络访问控制；VPN接入认证</w:t>
            </w:r>
          </w:p>
        </w:tc>
      </w:tr>
      <w:tr>
        <w:tblPrEx>
          <w:tblW w:w="8522" w:type="dxa"/>
          <w:jc w:val="center"/>
          <w:tblCellMar>
            <w:top w:w="0" w:type="dxa"/>
            <w:left w:w="10" w:type="dxa"/>
            <w:bottom w:w="0" w:type="dxa"/>
            <w:right w:w="10" w:type="dxa"/>
          </w:tblCellMar>
        </w:tblPrEx>
        <w:trPr>
          <w:trHeight w:val="0"/>
          <w:jc w:val="center"/>
        </w:trPr>
        <w:tc>
          <w:tcPr>
            <w:tcW w:w="1214"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数据安全</w:t>
            </w:r>
          </w:p>
        </w:tc>
        <w:tc>
          <w:tcPr>
            <w:tcW w:w="730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数据加密传输；敏感数据脱敏使用；数据定期备份</w:t>
            </w:r>
          </w:p>
        </w:tc>
      </w:tr>
      <w:tr>
        <w:tblPrEx>
          <w:tblW w:w="8522" w:type="dxa"/>
          <w:jc w:val="center"/>
          <w:tblCellMar>
            <w:top w:w="0" w:type="dxa"/>
            <w:left w:w="10" w:type="dxa"/>
            <w:bottom w:w="0" w:type="dxa"/>
            <w:right w:w="10" w:type="dxa"/>
          </w:tblCellMar>
        </w:tblPrEx>
        <w:trPr>
          <w:trHeight w:val="0"/>
          <w:jc w:val="center"/>
        </w:trPr>
        <w:tc>
          <w:tcPr>
            <w:tcW w:w="1214"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介质安全</w:t>
            </w:r>
          </w:p>
        </w:tc>
        <w:tc>
          <w:tcPr>
            <w:tcW w:w="7308"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存储介质统一管理；废弃介质物理销毁</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54" w:name="heading_23"/>
      <w:bookmarkStart w:id="55" w:name="_Toc31673"/>
      <w:r>
        <w:t>监控安全状况</w:t>
      </w:r>
      <w:bookmarkEnd w:id="54"/>
      <w:bookmarkEnd w:id="5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对安全规范实施进行监控，在工作周报、服务月报中体现。对发生的信息安全事件按照《事件管理程序》执行。</w:t>
      </w:r>
    </w:p>
    <w:p>
      <w:pPr>
        <w:pStyle w:val="a3"/>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eastAsia"/>
          <w:lang w:val="en-US" w:eastAsia="zh-CN"/>
        </w:rPr>
        <w:instrText>STYLEREF "柴_标题1"\n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eastAsia"/>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bookmarkStart w:id="56" w:name="_Toc22303"/>
      <w:r>
        <w:rPr>
          <w:rFonts w:hint="eastAsia"/>
          <w:lang w:val="en-US" w:eastAsia="zh-CN"/>
        </w:rPr>
        <w:t>安全监控内容表</w:t>
      </w:r>
      <w:bookmarkEnd w:id="56"/>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577"/>
        <w:gridCol w:w="4734"/>
        <w:gridCol w:w="2211"/>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577"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监控对象</w:t>
            </w:r>
          </w:p>
        </w:tc>
        <w:tc>
          <w:tcPr>
            <w:tcW w:w="4733"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监控内容</w:t>
            </w:r>
          </w:p>
        </w:tc>
        <w:tc>
          <w:tcPr>
            <w:tcW w:w="2211"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监控方式</w:t>
            </w:r>
          </w:p>
        </w:tc>
      </w:tr>
      <w:tr>
        <w:tblPrEx>
          <w:tblW w:w="8522" w:type="dxa"/>
          <w:jc w:val="center"/>
          <w:tblCellMar>
            <w:top w:w="0" w:type="dxa"/>
            <w:left w:w="10" w:type="dxa"/>
            <w:bottom w:w="0" w:type="dxa"/>
            <w:right w:w="10" w:type="dxa"/>
          </w:tblCellMar>
        </w:tblPrEx>
        <w:trPr>
          <w:trHeight w:val="0"/>
          <w:jc w:val="center"/>
        </w:trPr>
        <w:tc>
          <w:tcPr>
            <w:tcW w:w="157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系统日志</w:t>
            </w:r>
          </w:p>
        </w:tc>
        <w:tc>
          <w:tcPr>
            <w:tcW w:w="473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登录日志、操作日志、异常日志</w:t>
            </w:r>
          </w:p>
        </w:tc>
        <w:tc>
          <w:tcPr>
            <w:tcW w:w="22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日志审计系统</w:t>
            </w:r>
          </w:p>
        </w:tc>
      </w:tr>
      <w:tr>
        <w:tblPrEx>
          <w:tblW w:w="8522" w:type="dxa"/>
          <w:jc w:val="center"/>
          <w:tblCellMar>
            <w:top w:w="0" w:type="dxa"/>
            <w:left w:w="10" w:type="dxa"/>
            <w:bottom w:w="0" w:type="dxa"/>
            <w:right w:w="10" w:type="dxa"/>
          </w:tblCellMar>
        </w:tblPrEx>
        <w:trPr>
          <w:trHeight w:val="0"/>
          <w:jc w:val="center"/>
        </w:trPr>
        <w:tc>
          <w:tcPr>
            <w:tcW w:w="157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网络流量</w:t>
            </w:r>
          </w:p>
        </w:tc>
        <w:tc>
          <w:tcPr>
            <w:tcW w:w="473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异常流量、非法访问</w:t>
            </w:r>
          </w:p>
        </w:tc>
        <w:tc>
          <w:tcPr>
            <w:tcW w:w="22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网络监控系统</w:t>
            </w:r>
          </w:p>
        </w:tc>
      </w:tr>
      <w:tr>
        <w:tblPrEx>
          <w:tblW w:w="8522" w:type="dxa"/>
          <w:jc w:val="center"/>
          <w:tblCellMar>
            <w:top w:w="0" w:type="dxa"/>
            <w:left w:w="10" w:type="dxa"/>
            <w:bottom w:w="0" w:type="dxa"/>
            <w:right w:w="10" w:type="dxa"/>
          </w:tblCellMar>
        </w:tblPrEx>
        <w:trPr>
          <w:trHeight w:val="0"/>
          <w:jc w:val="center"/>
        </w:trPr>
        <w:tc>
          <w:tcPr>
            <w:tcW w:w="157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病毒防护</w:t>
            </w:r>
          </w:p>
        </w:tc>
        <w:tc>
          <w:tcPr>
            <w:tcW w:w="473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病毒查杀情况、病毒库版本</w:t>
            </w:r>
          </w:p>
        </w:tc>
        <w:tc>
          <w:tcPr>
            <w:tcW w:w="22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防病毒系统</w:t>
            </w:r>
          </w:p>
        </w:tc>
      </w:tr>
      <w:tr>
        <w:tblPrEx>
          <w:tblW w:w="8522" w:type="dxa"/>
          <w:jc w:val="center"/>
          <w:tblCellMar>
            <w:top w:w="0" w:type="dxa"/>
            <w:left w:w="10" w:type="dxa"/>
            <w:bottom w:w="0" w:type="dxa"/>
            <w:right w:w="10" w:type="dxa"/>
          </w:tblCellMar>
        </w:tblPrEx>
        <w:trPr>
          <w:trHeight w:val="0"/>
          <w:jc w:val="center"/>
        </w:trPr>
        <w:tc>
          <w:tcPr>
            <w:tcW w:w="157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账号权限</w:t>
            </w:r>
          </w:p>
        </w:tc>
        <w:tc>
          <w:tcPr>
            <w:tcW w:w="473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账号变更、权限变更</w:t>
            </w:r>
          </w:p>
        </w:tc>
        <w:tc>
          <w:tcPr>
            <w:tcW w:w="22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定期审计</w:t>
            </w:r>
          </w:p>
        </w:tc>
      </w:tr>
      <w:tr>
        <w:tblPrEx>
          <w:tblW w:w="8522" w:type="dxa"/>
          <w:jc w:val="center"/>
          <w:tblCellMar>
            <w:top w:w="0" w:type="dxa"/>
            <w:left w:w="10" w:type="dxa"/>
            <w:bottom w:w="0" w:type="dxa"/>
            <w:right w:w="10" w:type="dxa"/>
          </w:tblCellMar>
        </w:tblPrEx>
        <w:trPr>
          <w:trHeight w:val="0"/>
          <w:jc w:val="center"/>
        </w:trPr>
        <w:tc>
          <w:tcPr>
            <w:tcW w:w="1577"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安全事件</w:t>
            </w:r>
          </w:p>
        </w:tc>
        <w:tc>
          <w:tcPr>
            <w:tcW w:w="4733"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安全事件数量和类型</w:t>
            </w:r>
          </w:p>
        </w:tc>
        <w:tc>
          <w:tcPr>
            <w:tcW w:w="2211"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事件管理记录</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57" w:name="_Toc28271"/>
      <w:bookmarkStart w:id="58" w:name="heading_24"/>
      <w:r>
        <w:t>维护安全规范</w:t>
      </w:r>
      <w:bookmarkEnd w:id="57"/>
      <w:bookmarkEnd w:id="5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服务管理人员根据系统运行及运维服务的风险变化，必要时对《信息安全管理规范》进行修改。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由于基础架构、组织和业务流程方面的变化导致相关的风险也随着发生变化，因此安全也需要进行维护。</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安全维护包括服务级别协议中安全部分的维护以及详细的安全规范的维护。</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维护需要根据评估的结果以及对风险变化的评估结果进行。这些建议既可以直接被采纳，也可以纳入总体的服务级别协议的维护中。</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安全规范更新通过变更管理实施，参照《变更管理程序》。</w:t>
      </w:r>
    </w:p>
    <w:p>
      <w:pPr>
        <w:pStyle w:val="a3"/>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eastAsia"/>
          <w:lang w:val="en-US" w:eastAsia="zh-CN"/>
        </w:rPr>
        <w:instrText>STYLEREF "柴_标题1"\n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eastAsia"/>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bookmarkStart w:id="59" w:name="_Toc13674"/>
      <w:r>
        <w:rPr>
          <w:rFonts w:hint="eastAsia"/>
          <w:lang w:val="en-US" w:eastAsia="zh-CN"/>
        </w:rPr>
        <w:t>安全规范维护触发条件表</w:t>
      </w:r>
      <w:bookmarkEnd w:id="59"/>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2840"/>
        <w:gridCol w:w="5682"/>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2840"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触发条件</w:t>
            </w:r>
          </w:p>
        </w:tc>
        <w:tc>
          <w:tcPr>
            <w:tcW w:w="5682"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维护内容</w:t>
            </w:r>
          </w:p>
        </w:tc>
      </w:tr>
      <w:tr>
        <w:tblPrEx>
          <w:tblW w:w="8522" w:type="dxa"/>
          <w:jc w:val="center"/>
          <w:tblCellMar>
            <w:top w:w="0" w:type="dxa"/>
            <w:left w:w="10" w:type="dxa"/>
            <w:bottom w:w="0" w:type="dxa"/>
            <w:right w:w="10" w:type="dxa"/>
          </w:tblCellMar>
        </w:tblPrEx>
        <w:trPr>
          <w:trHeight w:val="0"/>
          <w:jc w:val="center"/>
        </w:trPr>
        <w:tc>
          <w:tcPr>
            <w:tcW w:w="284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新服务上线</w:t>
            </w:r>
          </w:p>
        </w:tc>
        <w:tc>
          <w:tcPr>
            <w:tcW w:w="56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评估安全需求，更新安全规范</w:t>
            </w:r>
          </w:p>
        </w:tc>
      </w:tr>
      <w:tr>
        <w:tblPrEx>
          <w:tblW w:w="8522" w:type="dxa"/>
          <w:jc w:val="center"/>
          <w:tblCellMar>
            <w:top w:w="0" w:type="dxa"/>
            <w:left w:w="10" w:type="dxa"/>
            <w:bottom w:w="0" w:type="dxa"/>
            <w:right w:w="10" w:type="dxa"/>
          </w:tblCellMar>
        </w:tblPrEx>
        <w:trPr>
          <w:trHeight w:val="0"/>
          <w:jc w:val="center"/>
        </w:trPr>
        <w:tc>
          <w:tcPr>
            <w:tcW w:w="284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重大变更</w:t>
            </w:r>
          </w:p>
        </w:tc>
        <w:tc>
          <w:tcPr>
            <w:tcW w:w="56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评估安全影响，更新相关规范</w:t>
            </w:r>
          </w:p>
        </w:tc>
      </w:tr>
      <w:tr>
        <w:tblPrEx>
          <w:tblW w:w="8522" w:type="dxa"/>
          <w:jc w:val="center"/>
          <w:tblCellMar>
            <w:top w:w="0" w:type="dxa"/>
            <w:left w:w="10" w:type="dxa"/>
            <w:bottom w:w="0" w:type="dxa"/>
            <w:right w:w="10" w:type="dxa"/>
          </w:tblCellMar>
        </w:tblPrEx>
        <w:trPr>
          <w:trHeight w:val="0"/>
          <w:jc w:val="center"/>
        </w:trPr>
        <w:tc>
          <w:tcPr>
            <w:tcW w:w="284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安全事件发生</w:t>
            </w:r>
          </w:p>
        </w:tc>
        <w:tc>
          <w:tcPr>
            <w:tcW w:w="56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分析事件原因，补充安全措施</w:t>
            </w:r>
          </w:p>
        </w:tc>
      </w:tr>
      <w:tr>
        <w:tblPrEx>
          <w:tblW w:w="8522" w:type="dxa"/>
          <w:jc w:val="center"/>
          <w:tblCellMar>
            <w:top w:w="0" w:type="dxa"/>
            <w:left w:w="10" w:type="dxa"/>
            <w:bottom w:w="0" w:type="dxa"/>
            <w:right w:w="10" w:type="dxa"/>
          </w:tblCellMar>
        </w:tblPrEx>
        <w:trPr>
          <w:trHeight w:val="0"/>
          <w:jc w:val="center"/>
        </w:trPr>
        <w:tc>
          <w:tcPr>
            <w:tcW w:w="284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风险评估完成</w:t>
            </w:r>
          </w:p>
        </w:tc>
        <w:tc>
          <w:tcPr>
            <w:tcW w:w="56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根据风险变化，调整安全策略</w:t>
            </w:r>
          </w:p>
        </w:tc>
      </w:tr>
      <w:tr>
        <w:tblPrEx>
          <w:tblW w:w="8522" w:type="dxa"/>
          <w:jc w:val="center"/>
          <w:tblCellMar>
            <w:top w:w="0" w:type="dxa"/>
            <w:left w:w="10" w:type="dxa"/>
            <w:bottom w:w="0" w:type="dxa"/>
            <w:right w:w="10" w:type="dxa"/>
          </w:tblCellMar>
        </w:tblPrEx>
        <w:trPr>
          <w:trHeight w:val="0"/>
          <w:jc w:val="center"/>
        </w:trPr>
        <w:tc>
          <w:tcPr>
            <w:tcW w:w="284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法律法规更新</w:t>
            </w:r>
          </w:p>
        </w:tc>
        <w:tc>
          <w:tcPr>
            <w:tcW w:w="56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调整合规要求，更新相关规范</w:t>
            </w:r>
          </w:p>
        </w:tc>
      </w:tr>
      <w:tr>
        <w:tblPrEx>
          <w:tblW w:w="8522" w:type="dxa"/>
          <w:jc w:val="center"/>
          <w:tblCellMar>
            <w:top w:w="0" w:type="dxa"/>
            <w:left w:w="10" w:type="dxa"/>
            <w:bottom w:w="0" w:type="dxa"/>
            <w:right w:w="10" w:type="dxa"/>
          </w:tblCellMar>
        </w:tblPrEx>
        <w:trPr>
          <w:trHeight w:val="0"/>
          <w:jc w:val="center"/>
        </w:trPr>
        <w:tc>
          <w:tcPr>
            <w:tcW w:w="2840"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客户要求变更</w:t>
            </w:r>
          </w:p>
        </w:tc>
        <w:tc>
          <w:tcPr>
            <w:tcW w:w="5682"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更新SLA安全部分，调整规范</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60" w:name="_Toc5785"/>
      <w:bookmarkStart w:id="61" w:name="heading_25"/>
      <w:r>
        <w:t>信息安全报告</w:t>
      </w:r>
      <w:bookmarkEnd w:id="60"/>
      <w:bookmarkEnd w:id="6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信息安全管理负责人根据信息安全管理的实施状况及日常发生的安全事件等，每月进行一次巡检，编写《信息安全服务报告》。</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报告可以提供有关已实现安全绩效方面的信息，并可以了解有关的安全问题。</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正确地了解有关努力（如安全措施的实施）所取得的效率以及实际被采用的安全措施。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还需要了解所有的安全事件。为报告服务级别协议中定义的安全事件，可通过服务级别管理负责人、事件管理负责人或安全管理负责人与部门经理直接的沟通渠道。</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除了在特殊情形下的例外事项，报告都是通过服务级别管理负责人进行传达的。</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根据信息安全管理需要报告信息安全的实施情况，并提交给《服务报告》中。</w:t>
      </w:r>
    </w:p>
    <w:p>
      <w:pPr>
        <w:rPr>
          <w:rFonts w:hint="eastAsia"/>
          <w:lang w:val="en-US" w:eastAsia="zh-CN"/>
        </w:rPr>
      </w:pPr>
      <w:r>
        <w:rPr>
          <w:rFonts w:hint="eastAsia"/>
          <w:lang w:val="en-US" w:eastAsia="zh-CN"/>
        </w:rPr>
        <w:br w:type="page"/>
      </w:r>
    </w:p>
    <w:p>
      <w:pPr>
        <w:pStyle w:val="a3"/>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bookmarkStart w:id="62" w:name="_GoBack"/>
      <w:bookmarkEnd w:id="62"/>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eastAsia"/>
          <w:lang w:val="en-US" w:eastAsia="zh-CN"/>
        </w:rPr>
        <w:instrText>STYLEREF "柴_标题1"\n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eastAsia"/>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8</w:t>
      </w:r>
      <w:r>
        <w:rPr>
          <w:rFonts w:hint="eastAsia"/>
          <w:lang w:val="en-US" w:eastAsia="zh-CN"/>
        </w:rPr>
        <w:fldChar w:fldCharType="end"/>
      </w:r>
      <w:bookmarkStart w:id="63" w:name="_Toc16186"/>
      <w:r>
        <w:rPr>
          <w:rFonts w:hint="eastAsia"/>
          <w:lang w:val="en-US" w:eastAsia="zh-CN"/>
        </w:rPr>
        <w:t>信息安全报告内容表</w:t>
      </w:r>
      <w:bookmarkEnd w:id="63"/>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3195"/>
        <w:gridCol w:w="5327"/>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3195"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报告要素</w:t>
            </w:r>
          </w:p>
        </w:tc>
        <w:tc>
          <w:tcPr>
            <w:tcW w:w="5327"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内容说明</w:t>
            </w:r>
          </w:p>
        </w:tc>
      </w:tr>
      <w:tr>
        <w:tblPrEx>
          <w:tblW w:w="8522" w:type="dxa"/>
          <w:jc w:val="center"/>
          <w:tblCellMar>
            <w:top w:w="0" w:type="dxa"/>
            <w:left w:w="10" w:type="dxa"/>
            <w:bottom w:w="0" w:type="dxa"/>
            <w:right w:w="10" w:type="dxa"/>
          </w:tblCellMar>
        </w:tblPrEx>
        <w:trPr>
          <w:trHeight w:val="0"/>
          <w:jc w:val="center"/>
        </w:trPr>
        <w:tc>
          <w:tcPr>
            <w:tcW w:w="3195"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安全指标完成情况</w:t>
            </w:r>
          </w:p>
        </w:tc>
        <w:tc>
          <w:tcPr>
            <w:tcW w:w="532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KPI指标完成情况统计</w:t>
            </w:r>
          </w:p>
        </w:tc>
      </w:tr>
      <w:tr>
        <w:tblPrEx>
          <w:tblW w:w="8522" w:type="dxa"/>
          <w:jc w:val="center"/>
          <w:tblCellMar>
            <w:top w:w="0" w:type="dxa"/>
            <w:left w:w="10" w:type="dxa"/>
            <w:bottom w:w="0" w:type="dxa"/>
            <w:right w:w="10" w:type="dxa"/>
          </w:tblCellMar>
        </w:tblPrEx>
        <w:trPr>
          <w:trHeight w:val="0"/>
          <w:jc w:val="center"/>
        </w:trPr>
        <w:tc>
          <w:tcPr>
            <w:tcW w:w="3195"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安全事件统计</w:t>
            </w:r>
          </w:p>
        </w:tc>
        <w:tc>
          <w:tcPr>
            <w:tcW w:w="532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安全事件数量、类型、处理情况</w:t>
            </w:r>
          </w:p>
        </w:tc>
      </w:tr>
      <w:tr>
        <w:tblPrEx>
          <w:tblW w:w="8522" w:type="dxa"/>
          <w:jc w:val="center"/>
          <w:tblCellMar>
            <w:top w:w="0" w:type="dxa"/>
            <w:left w:w="10" w:type="dxa"/>
            <w:bottom w:w="0" w:type="dxa"/>
            <w:right w:w="10" w:type="dxa"/>
          </w:tblCellMar>
        </w:tblPrEx>
        <w:trPr>
          <w:trHeight w:val="0"/>
          <w:jc w:val="center"/>
        </w:trPr>
        <w:tc>
          <w:tcPr>
            <w:tcW w:w="3195"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安全检查结果</w:t>
            </w:r>
          </w:p>
        </w:tc>
        <w:tc>
          <w:tcPr>
            <w:tcW w:w="532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巡检发现的问题、整改情况</w:t>
            </w:r>
          </w:p>
        </w:tc>
      </w:tr>
      <w:tr>
        <w:tblPrEx>
          <w:tblW w:w="8522" w:type="dxa"/>
          <w:jc w:val="center"/>
          <w:tblCellMar>
            <w:top w:w="0" w:type="dxa"/>
            <w:left w:w="10" w:type="dxa"/>
            <w:bottom w:w="0" w:type="dxa"/>
            <w:right w:w="10" w:type="dxa"/>
          </w:tblCellMar>
        </w:tblPrEx>
        <w:trPr>
          <w:trHeight w:val="0"/>
          <w:jc w:val="center"/>
        </w:trPr>
        <w:tc>
          <w:tcPr>
            <w:tcW w:w="3195"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风险评估更新</w:t>
            </w:r>
          </w:p>
        </w:tc>
        <w:tc>
          <w:tcPr>
            <w:tcW w:w="532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风险变化情况、新识别风险</w:t>
            </w:r>
          </w:p>
        </w:tc>
      </w:tr>
      <w:tr>
        <w:tblPrEx>
          <w:tblW w:w="8522" w:type="dxa"/>
          <w:jc w:val="center"/>
          <w:tblCellMar>
            <w:top w:w="0" w:type="dxa"/>
            <w:left w:w="10" w:type="dxa"/>
            <w:bottom w:w="0" w:type="dxa"/>
            <w:right w:w="10" w:type="dxa"/>
          </w:tblCellMar>
        </w:tblPrEx>
        <w:trPr>
          <w:trHeight w:val="0"/>
          <w:jc w:val="center"/>
        </w:trPr>
        <w:tc>
          <w:tcPr>
            <w:tcW w:w="3195"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安全改进措施</w:t>
            </w:r>
          </w:p>
        </w:tc>
        <w:tc>
          <w:tcPr>
            <w:tcW w:w="532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已实施的改进措施、效果验证</w:t>
            </w:r>
          </w:p>
        </w:tc>
      </w:tr>
      <w:tr>
        <w:tblPrEx>
          <w:tblW w:w="8522" w:type="dxa"/>
          <w:jc w:val="center"/>
          <w:tblCellMar>
            <w:top w:w="0" w:type="dxa"/>
            <w:left w:w="10" w:type="dxa"/>
            <w:bottom w:w="0" w:type="dxa"/>
            <w:right w:w="10" w:type="dxa"/>
          </w:tblCellMar>
        </w:tblPrEx>
        <w:trPr>
          <w:trHeight w:val="0"/>
          <w:jc w:val="center"/>
        </w:trPr>
        <w:tc>
          <w:tcPr>
            <w:tcW w:w="3195"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安全计划</w:t>
            </w:r>
          </w:p>
        </w:tc>
        <w:tc>
          <w:tcPr>
            <w:tcW w:w="5327"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下阶段安全工作重点</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64" w:name="_Toc10407"/>
      <w:r>
        <w:t>相关文件</w:t>
      </w:r>
      <w:bookmarkEnd w:id="3"/>
      <w:bookmarkEnd w:id="64"/>
    </w:p>
    <w:p>
      <w:pPr>
        <w:pStyle w:val="a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《服务报告管理程序》</w:t>
      </w:r>
    </w:p>
    <w:p>
      <w:pPr>
        <w:pStyle w:val="a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《事件管理程序》</w:t>
      </w:r>
    </w:p>
    <w:p>
      <w:pPr>
        <w:pStyle w:val="a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《变更管理程序》</w:t>
      </w:r>
    </w:p>
    <w:p>
      <w:pPr>
        <w:pStyle w:val="a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pPr>
      <w:r>
        <w:rPr>
          <w:rFonts w:hint="eastAsia"/>
        </w:rPr>
        <w:t>《配置管理程序》</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5" w:name="_Toc28811"/>
      <w:r>
        <w:rPr>
          <w:rFonts w:hint="default"/>
          <w:lang w:val="en-US" w:eastAsia="zh-CN"/>
        </w:rPr>
        <w:t>KPI指标</w:t>
      </w:r>
      <w:bookmarkEnd w:id="4"/>
      <w:bookmarkEnd w:id="65"/>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66" w:name="_Toc15905"/>
      <w:bookmarkStart w:id="67" w:name="_Toc23716"/>
      <w:r>
        <w:rPr>
          <w:rFonts w:hint="default"/>
          <w:lang w:val="en-US" w:eastAsia="zh-CN"/>
        </w:rPr>
        <w:t xml:space="preserve"> KPI指标表</w:t>
      </w:r>
      <w:bookmarkEnd w:id="66"/>
      <w:bookmarkEnd w:id="67"/>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2115"/>
        <w:gridCol w:w="4306"/>
        <w:gridCol w:w="1000"/>
        <w:gridCol w:w="1101"/>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2115"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指标</w:t>
            </w:r>
            <w:r>
              <w:rPr>
                <w:rFonts w:ascii="Segoe UI" w:eastAsia="Segoe UI" w:hAnsi="Segoe UI" w:cs="Segoe UI" w:hint="eastAsia"/>
                <w:b/>
                <w:i w:val="0"/>
                <w:iCs w:val="0"/>
                <w:caps w:val="0"/>
                <w:snapToGrid w:val="0"/>
                <w:color w:val="000000"/>
                <w:spacing w:val="0"/>
                <w:kern w:val="0"/>
                <w:sz w:val="18"/>
                <w:szCs w:val="18"/>
                <w:lang w:val="en-US" w:eastAsia="zh-CN"/>
              </w:rPr>
              <w:t>名称</w:t>
            </w:r>
          </w:p>
        </w:tc>
        <w:tc>
          <w:tcPr>
            <w:tcW w:w="4306"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eastAsia"/>
                <w:b/>
                <w:i w:val="0"/>
                <w:iCs w:val="0"/>
                <w:caps w:val="0"/>
                <w:snapToGrid w:val="0"/>
                <w:color w:val="000000"/>
                <w:spacing w:val="0"/>
                <w:kern w:val="0"/>
                <w:sz w:val="18"/>
                <w:szCs w:val="18"/>
                <w:lang w:val="en-US" w:eastAsia="zh-CN"/>
              </w:rPr>
              <w:t>指标计算</w:t>
            </w:r>
            <w:r>
              <w:rPr>
                <w:rFonts w:ascii="Segoe UI" w:eastAsia="Segoe UI" w:hAnsi="Segoe UI" w:cs="Segoe UI" w:hint="default"/>
                <w:b/>
                <w:i w:val="0"/>
                <w:iCs w:val="0"/>
                <w:caps w:val="0"/>
                <w:snapToGrid w:val="0"/>
                <w:color w:val="000000"/>
                <w:spacing w:val="0"/>
                <w:kern w:val="0"/>
                <w:sz w:val="18"/>
                <w:szCs w:val="18"/>
                <w:lang w:val="en-US" w:eastAsia="zh-CN"/>
              </w:rPr>
              <w:t>方式</w:t>
            </w:r>
          </w:p>
        </w:tc>
        <w:tc>
          <w:tcPr>
            <w:tcW w:w="1000"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eastAsia"/>
                <w:b/>
                <w:i w:val="0"/>
                <w:iCs w:val="0"/>
                <w:caps w:val="0"/>
                <w:color w:val="0F1115"/>
                <w:spacing w:val="0"/>
                <w:sz w:val="18"/>
                <w:szCs w:val="18"/>
                <w:lang w:val="en-US" w:eastAsia="zh-CN"/>
              </w:rPr>
            </w:pPr>
            <w:r>
              <w:rPr>
                <w:rFonts w:ascii="Segoe UI" w:eastAsia="Segoe UI" w:hAnsi="Segoe UI" w:cs="Segoe UI" w:hint="eastAsia"/>
                <w:b/>
                <w:i w:val="0"/>
                <w:iCs w:val="0"/>
                <w:caps w:val="0"/>
                <w:color w:val="0F1115"/>
                <w:spacing w:val="0"/>
                <w:sz w:val="18"/>
                <w:szCs w:val="18"/>
                <w:lang w:val="en-US" w:eastAsia="zh-CN"/>
              </w:rPr>
              <w:t>目标值</w:t>
            </w:r>
          </w:p>
        </w:tc>
        <w:tc>
          <w:tcPr>
            <w:tcW w:w="1101"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lang w:val="en-US"/>
              </w:rPr>
            </w:pPr>
            <w:r>
              <w:rPr>
                <w:rFonts w:ascii="Segoe UI" w:eastAsia="Segoe UI" w:hAnsi="Segoe UI" w:cs="Segoe UI" w:hint="eastAsia"/>
                <w:b/>
                <w:i w:val="0"/>
                <w:iCs w:val="0"/>
                <w:caps w:val="0"/>
                <w:snapToGrid w:val="0"/>
                <w:color w:val="000000"/>
                <w:spacing w:val="0"/>
                <w:kern w:val="0"/>
                <w:sz w:val="18"/>
                <w:szCs w:val="18"/>
                <w:lang w:val="en-US" w:eastAsia="zh-CN"/>
              </w:rPr>
              <w:t>考核频次</w:t>
            </w:r>
          </w:p>
        </w:tc>
      </w:tr>
      <w:tr>
        <w:tblPrEx>
          <w:tblW w:w="8522" w:type="dxa"/>
          <w:jc w:val="center"/>
          <w:shd w:val="clear" w:color="auto" w:fill="auto"/>
          <w:tblCellMar>
            <w:top w:w="15" w:type="dxa"/>
            <w:left w:w="15" w:type="dxa"/>
            <w:bottom w:w="15" w:type="dxa"/>
            <w:right w:w="15" w:type="dxa"/>
          </w:tblCellMar>
        </w:tblPrEx>
        <w:trPr>
          <w:trHeight w:val="0"/>
          <w:jc w:val="center"/>
        </w:trPr>
        <w:tc>
          <w:tcPr>
            <w:tcW w:w="2115" w:type="dxa"/>
            <w:tcBorders>
              <w:top w:val="single" w:sz="4" w:space="0" w:color="auto"/>
              <w:left w:val="single" w:sz="12" w:space="0" w:color="auto"/>
              <w:bottom w:val="single" w:sz="4"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安全培训覆盖率</w:t>
            </w:r>
          </w:p>
        </w:tc>
        <w:tc>
          <w:tcPr>
            <w:tcW w:w="4306" w:type="dxa"/>
            <w:tcBorders>
              <w:top w:val="single" w:sz="4" w:space="0" w:color="auto"/>
              <w:left w:val="single" w:sz="4" w:space="0" w:color="auto"/>
              <w:bottom w:val="single" w:sz="4"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w:t>
            </w:r>
            <w:r>
              <w:rPr>
                <w:rFonts w:cs="Arial" w:hint="eastAsia"/>
                <w:snapToGrid w:val="0"/>
                <w:color w:val="000000"/>
                <w:kern w:val="0"/>
                <w:sz w:val="24"/>
                <w:szCs w:val="21"/>
                <w:vertAlign w:val="baseline"/>
                <w:lang w:val="en-US" w:eastAsia="zh-CN" w:bidi="ar-SA"/>
              </w:rPr>
              <w:t>接受培训人数/应培训人数</w:t>
            </w:r>
            <w:r>
              <w:rPr>
                <w:rFonts w:cs="Arial" w:hint="default"/>
                <w:snapToGrid w:val="0"/>
                <w:color w:val="000000"/>
                <w:kern w:val="0"/>
                <w:sz w:val="24"/>
                <w:szCs w:val="21"/>
                <w:vertAlign w:val="baseline"/>
                <w:lang w:val="en-US" w:eastAsia="zh-CN" w:bidi="ar-SA"/>
              </w:rPr>
              <w:t>）×100%</w:t>
            </w:r>
          </w:p>
        </w:tc>
        <w:tc>
          <w:tcPr>
            <w:tcW w:w="1000" w:type="dxa"/>
            <w:tcBorders>
              <w:top w:val="single" w:sz="4" w:space="0" w:color="auto"/>
              <w:left w:val="single" w:sz="4" w:space="0" w:color="auto"/>
              <w:bottom w:val="single" w:sz="4"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≥9</w:t>
            </w:r>
            <w:r>
              <w:rPr>
                <w:rFonts w:cs="Arial" w:hint="eastAsia"/>
                <w:snapToGrid w:val="0"/>
                <w:color w:val="000000"/>
                <w:kern w:val="0"/>
                <w:sz w:val="24"/>
                <w:szCs w:val="21"/>
                <w:vertAlign w:val="baseline"/>
                <w:lang w:val="en-US" w:eastAsia="zh-CN" w:bidi="ar-SA"/>
              </w:rPr>
              <w:t>5</w:t>
            </w:r>
            <w:r>
              <w:rPr>
                <w:rFonts w:cs="Arial" w:hint="default"/>
                <w:snapToGrid w:val="0"/>
                <w:color w:val="000000"/>
                <w:kern w:val="0"/>
                <w:sz w:val="24"/>
                <w:szCs w:val="21"/>
                <w:vertAlign w:val="baseline"/>
                <w:lang w:val="en-US" w:eastAsia="zh-CN" w:bidi="ar-SA"/>
              </w:rPr>
              <w:t>%</w:t>
            </w:r>
          </w:p>
        </w:tc>
        <w:tc>
          <w:tcPr>
            <w:tcW w:w="1101"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hAnsi="Arial" w:cs="Arial" w:hint="eastAsia"/>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年度</w:t>
            </w:r>
          </w:p>
        </w:tc>
      </w:tr>
      <w:tr>
        <w:tblPrEx>
          <w:tblW w:w="8522" w:type="dxa"/>
          <w:jc w:val="center"/>
          <w:shd w:val="clear" w:color="auto" w:fill="auto"/>
          <w:tblCellMar>
            <w:top w:w="15" w:type="dxa"/>
            <w:left w:w="15" w:type="dxa"/>
            <w:bottom w:w="15" w:type="dxa"/>
            <w:right w:w="15" w:type="dxa"/>
          </w:tblCellMar>
        </w:tblPrEx>
        <w:trPr>
          <w:trHeight w:val="0"/>
          <w:jc w:val="center"/>
        </w:trPr>
        <w:tc>
          <w:tcPr>
            <w:tcW w:w="2115"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cs="Arial" w:hint="default"/>
                <w:snapToGrid w:val="0"/>
                <w:color w:val="000000"/>
                <w:kern w:val="0"/>
                <w:sz w:val="24"/>
                <w:szCs w:val="21"/>
                <w:vertAlign w:val="baseline"/>
                <w:lang w:val="en-US" w:eastAsia="zh-CN" w:bidi="ar-SA"/>
              </w:rPr>
            </w:pPr>
            <w:bookmarkStart w:id="68" w:name="heading_35"/>
            <w:r>
              <w:rPr>
                <w:rFonts w:cs="Arial" w:hint="eastAsia"/>
                <w:snapToGrid w:val="0"/>
                <w:color w:val="000000"/>
                <w:kern w:val="0"/>
                <w:sz w:val="24"/>
                <w:szCs w:val="21"/>
                <w:vertAlign w:val="baseline"/>
                <w:lang w:val="en-US" w:eastAsia="zh-CN" w:bidi="ar-SA"/>
              </w:rPr>
              <w:t>信息安全事故数量</w:t>
            </w:r>
          </w:p>
        </w:tc>
        <w:tc>
          <w:tcPr>
            <w:tcW w:w="4306"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我方人员造成安全事故的次数</w:t>
            </w:r>
          </w:p>
        </w:tc>
        <w:tc>
          <w:tcPr>
            <w:tcW w:w="1000"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≤1次</w:t>
            </w:r>
          </w:p>
        </w:tc>
        <w:tc>
          <w:tcPr>
            <w:tcW w:w="1101"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年度</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69" w:name="_Toc1449"/>
      <w:r>
        <w:t>输出的文件及记录</w:t>
      </w:r>
      <w:bookmarkEnd w:id="68"/>
      <w:bookmarkEnd w:id="69"/>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70" w:name="_Toc10694"/>
      <w:r>
        <w:rPr>
          <w:rFonts w:hint="default"/>
          <w:lang w:val="en-US" w:eastAsia="zh-CN"/>
        </w:rPr>
        <w:t xml:space="preserve"> </w:t>
      </w:r>
      <w:r>
        <w:rPr>
          <w:rFonts w:hint="eastAsia"/>
          <w:lang w:val="en-US" w:eastAsia="zh-CN"/>
        </w:rPr>
        <w:t>输出文件和记录表</w:t>
      </w:r>
      <w:bookmarkEnd w:id="70"/>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5929"/>
        <w:gridCol w:w="2593"/>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5929"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文件及记录</w:t>
            </w:r>
          </w:p>
        </w:tc>
        <w:tc>
          <w:tcPr>
            <w:tcW w:w="2593"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责任部门</w:t>
            </w:r>
          </w:p>
        </w:tc>
      </w:tr>
      <w:tr>
        <w:tblPrEx>
          <w:tblW w:w="8522" w:type="dxa"/>
          <w:jc w:val="center"/>
          <w:shd w:val="clear" w:color="auto" w:fill="auto"/>
          <w:tblCellMar>
            <w:top w:w="15" w:type="dxa"/>
            <w:left w:w="15" w:type="dxa"/>
            <w:bottom w:w="15" w:type="dxa"/>
            <w:right w:w="15" w:type="dxa"/>
          </w:tblCellMar>
        </w:tblPrEx>
        <w:trPr>
          <w:trHeight w:val="0"/>
          <w:jc w:val="center"/>
        </w:trPr>
        <w:tc>
          <w:tcPr>
            <w:tcW w:w="592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《信息资产清单》</w:t>
            </w:r>
          </w:p>
        </w:tc>
        <w:tc>
          <w:tcPr>
            <w:tcW w:w="2593"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592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《信息资产脆弱性和威胁表》</w:t>
            </w:r>
          </w:p>
        </w:tc>
        <w:tc>
          <w:tcPr>
            <w:tcW w:w="2593"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592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《信息资产风险评估表》</w:t>
            </w:r>
          </w:p>
        </w:tc>
        <w:tc>
          <w:tcPr>
            <w:tcW w:w="2593"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592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《风险处置计划表》</w:t>
            </w:r>
          </w:p>
        </w:tc>
        <w:tc>
          <w:tcPr>
            <w:tcW w:w="2593"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592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《残余风险报告》</w:t>
            </w:r>
          </w:p>
        </w:tc>
        <w:tc>
          <w:tcPr>
            <w:tcW w:w="2593"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592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《信息安全管理规范》</w:t>
            </w:r>
          </w:p>
        </w:tc>
        <w:tc>
          <w:tcPr>
            <w:tcW w:w="2593"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5929"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《信息安全服务报告》</w:t>
            </w:r>
          </w:p>
        </w:tc>
        <w:tc>
          <w:tcPr>
            <w:tcW w:w="2593"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3A62BA4"/>
    <w:multiLevelType w:val="singleLevel"/>
    <w:tmpl w:val="83A62BA4"/>
    <w:lvl w:ilvl="0">
      <w:start w:val="1"/>
      <w:numFmt w:val="decimal"/>
      <w:lvlText w:val="%1."/>
      <w:lvlJc w:val="left"/>
      <w:pPr>
        <w:ind w:left="425" w:hanging="425"/>
      </w:pPr>
      <w:rPr>
        <w:rFonts w:hint="default"/>
      </w:rPr>
    </w:lvl>
  </w:abstractNum>
  <w:abstractNum w:abstractNumId="1">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2">
    <w:nsid w:val="A9E20602"/>
    <w:multiLevelType w:val="singleLevel"/>
    <w:tmpl w:val="A9E20602"/>
    <w:lvl w:ilvl="0">
      <w:start w:val="1"/>
      <w:numFmt w:val="decimal"/>
      <w:lvlText w:val="%1."/>
      <w:lvlJc w:val="left"/>
      <w:pPr>
        <w:ind w:left="425" w:hanging="425"/>
      </w:pPr>
      <w:rPr>
        <w:rFonts w:hint="default"/>
      </w:rPr>
    </w:lvl>
  </w:abstractNum>
  <w:abstractNum w:abstractNumId="3">
    <w:nsid w:val="133A0509"/>
    <w:multiLevelType w:val="singleLevel"/>
    <w:tmpl w:val="133A0509"/>
    <w:lvl w:ilvl="0">
      <w:start w:val="1"/>
      <w:numFmt w:val="decimal"/>
      <w:lvlText w:val="%1."/>
      <w:lvlJc w:val="left"/>
      <w:pPr>
        <w:ind w:left="425" w:hanging="425"/>
      </w:pPr>
      <w:rPr>
        <w:rFonts w:hint="default"/>
      </w:rPr>
    </w:lvl>
  </w:abstractNum>
  <w:abstractNum w:abstractNumId="4">
    <w:nsid w:val="1CBD3C35"/>
    <w:multiLevelType w:val="singleLevel"/>
    <w:tmpl w:val="1CBD3C35"/>
    <w:lvl w:ilvl="0">
      <w:start w:val="1"/>
      <w:numFmt w:val="decimal"/>
      <w:lvlText w:val="%1."/>
      <w:lvlJc w:val="left"/>
      <w:pPr>
        <w:ind w:left="425" w:hanging="425"/>
      </w:pPr>
      <w:rPr>
        <w:rFonts w:hint="default"/>
      </w:rPr>
    </w:lvl>
  </w:abstractNum>
  <w:abstractNum w:abstractNumId="5">
    <w:nsid w:val="1FE781C9"/>
    <w:multiLevelType w:val="singleLevel"/>
    <w:tmpl w:val="1FE781C9"/>
    <w:lvl w:ilvl="0">
      <w:start w:val="1"/>
      <w:numFmt w:val="decimal"/>
      <w:lvlText w:val="%1."/>
      <w:lvlJc w:val="left"/>
      <w:pPr>
        <w:ind w:left="425" w:hanging="425"/>
      </w:pPr>
      <w:rPr>
        <w:rFonts w:hint="default"/>
      </w:rPr>
    </w:lvl>
  </w:abstractNum>
  <w:abstractNum w:abstractNumId="6">
    <w:nsid w:val="28A64356"/>
    <w:multiLevelType w:val="singleLevel"/>
    <w:tmpl w:val="28A64356"/>
    <w:lvl w:ilvl="0">
      <w:start w:val="1"/>
      <w:numFmt w:val="decimal"/>
      <w:lvlText w:val="%1."/>
      <w:lvlJc w:val="left"/>
      <w:pPr>
        <w:ind w:left="425" w:hanging="425"/>
      </w:pPr>
      <w:rPr>
        <w:rFonts w:hint="default"/>
      </w:rPr>
    </w:lvl>
  </w:abstractNum>
  <w:abstractNum w:abstractNumId="7">
    <w:nsid w:val="2B1C3AF7"/>
    <w:multiLevelType w:val="singleLevel"/>
    <w:tmpl w:val="2B1C3AF7"/>
    <w:lvl w:ilvl="0">
      <w:start w:val="1"/>
      <w:numFmt w:val="decimal"/>
      <w:lvlText w:val="%1."/>
      <w:lvlJc w:val="left"/>
      <w:pPr>
        <w:ind w:left="425" w:hanging="425"/>
      </w:pPr>
      <w:rPr>
        <w:rFonts w:hint="default"/>
      </w:rPr>
    </w:lvl>
  </w:abstractNum>
  <w:abstractNum w:abstractNumId="8">
    <w:nsid w:val="40B05F65"/>
    <w:multiLevelType w:val="singleLevel"/>
    <w:tmpl w:val="40B05F65"/>
    <w:lvl w:ilvl="0">
      <w:start w:val="1"/>
      <w:numFmt w:val="decimal"/>
      <w:lvlText w:val="%1."/>
      <w:lvlJc w:val="left"/>
      <w:pPr>
        <w:ind w:left="425" w:hanging="425"/>
      </w:pPr>
      <w:rPr>
        <w:rFonts w:hint="default"/>
      </w:rPr>
    </w:lvl>
  </w:abstractNum>
  <w:abstractNum w:abstractNumId="9">
    <w:nsid w:val="4CEBEAF7"/>
    <w:multiLevelType w:val="singleLevel"/>
    <w:tmpl w:val="4CEBEAF7"/>
    <w:lvl w:ilvl="0">
      <w:start w:val="1"/>
      <w:numFmt w:val="decimal"/>
      <w:lvlText w:val="%1."/>
      <w:lvlJc w:val="left"/>
      <w:pPr>
        <w:ind w:left="425" w:hanging="425"/>
      </w:pPr>
      <w:rPr>
        <w:rFonts w:hint="default"/>
      </w:rPr>
    </w:lvl>
  </w:abstractNum>
  <w:num w:numId="1">
    <w:abstractNumId w:val="1"/>
  </w:num>
  <w:num w:numId="2">
    <w:abstractNumId w:val="8"/>
  </w:num>
  <w:num w:numId="3">
    <w:abstractNumId w:val="0"/>
  </w:num>
  <w:num w:numId="4">
    <w:abstractNumId w:val="2"/>
  </w:num>
  <w:num w:numId="5">
    <w:abstractNumId w:val="7"/>
  </w:num>
  <w:num w:numId="6">
    <w:abstractNumId w:val="3"/>
  </w:num>
  <w:num w:numId="7">
    <w:abstractNumId w:val="5"/>
  </w:num>
  <w:num w:numId="8">
    <w:abstractNumId w:val="4"/>
  </w:num>
  <w:num w:numId="9">
    <w:abstractNumId w:val="6"/>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TotalTime>
  <Pages>14</Pages>
  <Words>4575</Words>
  <Characters>4802</Characters>
  <Application>Microsoft Office Word</Application>
  <DocSecurity>0</DocSecurity>
  <Lines>0</Lines>
  <Paragraphs>0</Paragraphs>
  <ScaleCrop>false</ScaleCrop>
  <Company/>
  <LinksUpToDate>false</LinksUpToDate>
  <CharactersWithSpaces>4972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2026-04-07T21:57:16Z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