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376ECB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bookmarkStart w:id="24" w:name="_GoBack"/>
      <w:r>
        <w:rPr>
          <w:rFonts w:hint="eastAsia"/>
          <w:lang w:val="en-US" w:eastAsia="zh-CN"/>
        </w:rPr>
        <w:t>华风数据(深圳)有限公司</w:t>
      </w:r>
      <w:bookmarkEnd w:id="0"/>
    </w:p>
    <w:p w14:paraId="17EE386B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2025年国电电力湖南新能源系统运维项目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2025年信息安全管理计划</w:t>
      </w:r>
    </w:p>
    <w:tbl>
      <w:tblPr>
        <w:tblStyle w:val="23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 w14:paraId="02E221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2F736B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D11989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HFSJ-ITSS-0615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6DDE86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4E9C4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 w14:paraId="2A5535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CDAA11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AE986E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姚耿桂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1099C5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64A7B5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2025.01.10</w:t>
            </w:r>
          </w:p>
        </w:tc>
      </w:tr>
      <w:tr w14:paraId="6E77B1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ABBF97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2986A7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8A4E49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262F76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2025.01.10</w:t>
            </w:r>
          </w:p>
        </w:tc>
      </w:tr>
      <w:tr w14:paraId="656887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AF0B4E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5DDC1E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BA2BA3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2E3D00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2025.01.10</w:t>
            </w:r>
          </w:p>
        </w:tc>
      </w:tr>
      <w:tr w14:paraId="55F880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138EF4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1D2550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604DA3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2A5456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2025.01.10</w:t>
            </w:r>
          </w:p>
        </w:tc>
      </w:tr>
    </w:tbl>
    <w:p w14:paraId="542F220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40D784DA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23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 w14:paraId="4D53EC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7D829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49FB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73FCC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5DDE1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8D378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 w14:paraId="786CE0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1AFC4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AC3FA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2025.01.10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84022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姚耿桂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7423D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FB6A8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3D593B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D0F15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1E1F3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7AD66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5243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2A71A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1C9881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D318C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D7A5F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C7351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85A20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A2F2F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4A3690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E48A3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117A2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EBB28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3849D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AFF9E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 w14:paraId="6B7C8E1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25"/>
          <w:rFonts w:hint="default" w:ascii="微软雅黑" w:hAnsi="微软雅黑" w:eastAsia="微软雅黑" w:cs="微软雅黑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02409111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3D8F4914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_Toc8110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_Toc8110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8A0B0AB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_Toc13878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适用范围</w:t>
          </w:r>
          <w:r>
            <w:tab/>
          </w:r>
          <w:r>
            <w:fldChar w:fldCharType="begin"/>
          </w:r>
          <w:r>
            <w:instrText xml:space="preserve"> PAGEREF _Toc13878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CF5DEDC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_Toc10741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信息安全目标</w:t>
          </w:r>
          <w:r>
            <w:tab/>
          </w:r>
          <w:r>
            <w:fldChar w:fldCharType="begin"/>
          </w:r>
          <w:r>
            <w:instrText xml:space="preserve"> PAGEREF _Toc10741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DACF896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_Toc7584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 信息安全组织与职责</w:t>
          </w:r>
          <w:r>
            <w:tab/>
          </w:r>
          <w:r>
            <w:fldChar w:fldCharType="begin"/>
          </w:r>
          <w:r>
            <w:instrText xml:space="preserve"> PAGEREF _Toc7584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CFAF345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_Toc14108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 信息资产识别与分类</w:t>
          </w:r>
          <w:r>
            <w:tab/>
          </w:r>
          <w:r>
            <w:fldChar w:fldCharType="begin"/>
          </w:r>
          <w:r>
            <w:instrText xml:space="preserve"> PAGEREF _Toc14108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24B0333">
          <w:pPr>
            <w:pStyle w:val="1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_Toc10659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5.1. 信息资产清单</w:t>
          </w:r>
          <w:r>
            <w:tab/>
          </w:r>
          <w:r>
            <w:fldChar w:fldCharType="begin"/>
          </w:r>
          <w:r>
            <w:instrText xml:space="preserve"> PAGEREF _Toc10659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3DB3486">
          <w:pPr>
            <w:pStyle w:val="1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_Toc32716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 信息资产分级</w:t>
          </w:r>
          <w:r>
            <w:tab/>
          </w:r>
          <w:r>
            <w:fldChar w:fldCharType="begin"/>
          </w:r>
          <w:r>
            <w:instrText xml:space="preserve"> PAGEREF _Toc32716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F3AB4B6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_Toc29700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 信息安全风险评估</w:t>
          </w:r>
          <w:r>
            <w:tab/>
          </w:r>
          <w:r>
            <w:fldChar w:fldCharType="begin"/>
          </w:r>
          <w:r>
            <w:instrText xml:space="preserve"> PAGEREF _Toc29700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F4FACE1">
          <w:pPr>
            <w:pStyle w:val="1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_Toc29556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6.1. 主要风险识别</w:t>
          </w:r>
          <w:r>
            <w:tab/>
          </w:r>
          <w:r>
            <w:fldChar w:fldCharType="begin"/>
          </w:r>
          <w:r>
            <w:instrText xml:space="preserve"> PAGEREF _Toc29556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80F8963">
          <w:pPr>
            <w:pStyle w:val="1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_Toc24650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6.2. 风险应对措施</w:t>
          </w:r>
          <w:r>
            <w:tab/>
          </w:r>
          <w:r>
            <w:fldChar w:fldCharType="begin"/>
          </w:r>
          <w:r>
            <w:instrText xml:space="preserve"> PAGEREF _Toc24650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C6818F1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_Toc6664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 信息安全管控措施</w:t>
          </w:r>
          <w:r>
            <w:tab/>
          </w:r>
          <w:r>
            <w:fldChar w:fldCharType="begin"/>
          </w:r>
          <w:r>
            <w:instrText xml:space="preserve"> PAGEREF _Toc6664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CC355DC">
          <w:pPr>
            <w:pStyle w:val="1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_Toc26361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7.1. 访问控制管理</w:t>
          </w:r>
          <w:r>
            <w:tab/>
          </w:r>
          <w:r>
            <w:fldChar w:fldCharType="begin"/>
          </w:r>
          <w:r>
            <w:instrText xml:space="preserve"> PAGEREF _Toc26361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7E858ED">
          <w:pPr>
            <w:pStyle w:val="1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_Toc24791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7.2. 数据安全管理</w:t>
          </w:r>
          <w:r>
            <w:tab/>
          </w:r>
          <w:r>
            <w:fldChar w:fldCharType="begin"/>
          </w:r>
          <w:r>
            <w:instrText xml:space="preserve"> PAGEREF _Toc24791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1913AD5">
          <w:pPr>
            <w:pStyle w:val="1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_Toc9113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7.3. 网络安全防护</w:t>
          </w:r>
          <w:r>
            <w:tab/>
          </w:r>
          <w:r>
            <w:fldChar w:fldCharType="begin"/>
          </w:r>
          <w:r>
            <w:instrText xml:space="preserve"> PAGEREF _Toc9113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ADF0A01">
          <w:pPr>
            <w:pStyle w:val="1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_Toc4853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7.4. 系统安全加固</w:t>
          </w:r>
          <w:r>
            <w:tab/>
          </w:r>
          <w:r>
            <w:fldChar w:fldCharType="begin"/>
          </w:r>
          <w:r>
            <w:instrText xml:space="preserve"> PAGEREF _Toc4853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9D4C58C">
          <w:pPr>
            <w:pStyle w:val="1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_Toc1007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7.5. 物理安全防护</w:t>
          </w:r>
          <w:r>
            <w:tab/>
          </w:r>
          <w:r>
            <w:fldChar w:fldCharType="begin"/>
          </w:r>
          <w:r>
            <w:instrText xml:space="preserve"> PAGEREF _Toc1007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D34E9DE">
          <w:pPr>
            <w:pStyle w:val="1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_Toc519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7.6. 人员安全管理</w:t>
          </w:r>
          <w:r>
            <w:tab/>
          </w:r>
          <w:r>
            <w:fldChar w:fldCharType="begin"/>
          </w:r>
          <w:r>
            <w:instrText xml:space="preserve"> PAGEREF _Toc519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315EB39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_Toc10777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 信息安全事件管理</w:t>
          </w:r>
          <w:r>
            <w:tab/>
          </w:r>
          <w:r>
            <w:fldChar w:fldCharType="begin"/>
          </w:r>
          <w:r>
            <w:instrText xml:space="preserve"> PAGEREF _Toc10777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4421862">
          <w:pPr>
            <w:pStyle w:val="1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_Toc19071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8.1. 事件分级</w:t>
          </w:r>
          <w:r>
            <w:tab/>
          </w:r>
          <w:r>
            <w:fldChar w:fldCharType="begin"/>
          </w:r>
          <w:r>
            <w:instrText xml:space="preserve"> PAGEREF _Toc19071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6015BA6">
          <w:pPr>
            <w:pStyle w:val="18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_Toc24684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8.2. 事件响应流程</w:t>
          </w:r>
          <w:r>
            <w:tab/>
          </w:r>
          <w:r>
            <w:fldChar w:fldCharType="begin"/>
          </w:r>
          <w:r>
            <w:instrText xml:space="preserve"> PAGEREF _Toc24684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A905528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_Toc13946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9. 信息安全培训与意识</w:t>
          </w:r>
          <w:r>
            <w:tab/>
          </w:r>
          <w:r>
            <w:fldChar w:fldCharType="begin"/>
          </w:r>
          <w:r>
            <w:instrText xml:space="preserve"> PAGEREF _Toc13946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13DB1CD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_Toc13627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10. 信息安全检查与审计</w:t>
          </w:r>
          <w:r>
            <w:tab/>
          </w:r>
          <w:r>
            <w:fldChar w:fldCharType="begin"/>
          </w:r>
          <w:r>
            <w:instrText xml:space="preserve"> PAGEREF _Toc13627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B643CC0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 w14:paraId="607F52C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 w14:paraId="63D9F637">
      <w:pPr>
        <w:pStyle w:val="17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TOC \h \c "表"</w:instrText>
      </w:r>
      <w:r>
        <w:fldChar w:fldCharType="separate"/>
      </w:r>
      <w:r>
        <w:fldChar w:fldCharType="begin"/>
      </w:r>
      <w:r>
        <w:instrText xml:space="preserve"> HYPERLINK \l _Toc16367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信息安全组织职责表</w:t>
      </w:r>
      <w:r>
        <w:tab/>
      </w:r>
      <w:r>
        <w:fldChar w:fldCharType="begin"/>
      </w:r>
      <w:r>
        <w:instrText xml:space="preserve"> PAGEREF _Toc16367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932568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fldChar w:fldCharType="end"/>
      </w:r>
      <w:r>
        <w:rPr>
          <w:rFonts w:hint="default"/>
          <w:lang w:val="en-US" w:eastAsia="zh-CN"/>
        </w:rPr>
        <w:br w:type="page"/>
      </w:r>
    </w:p>
    <w:p w14:paraId="1C84B039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" w:name="_Toc8110"/>
      <w:r>
        <w:rPr>
          <w:rFonts w:hint="default"/>
          <w:lang w:val="en-US" w:eastAsia="zh-CN"/>
        </w:rPr>
        <w:t>目的</w:t>
      </w:r>
      <w:bookmarkEnd w:id="1"/>
    </w:p>
    <w:p w14:paraId="6F677FAF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为保障《2025年国电电力湖南新能源系统运维项目》项目在服务期内的信息安全，确保信息资产的机密性、完整性和可用性，防范信息安全风险，满足客户安全需求和法律法规要求，特制定本计划。</w:t>
      </w:r>
    </w:p>
    <w:p w14:paraId="6CD670E2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" w:name="_Toc13878"/>
      <w:r>
        <w:rPr>
          <w:rFonts w:hint="default"/>
          <w:lang w:val="en-US" w:eastAsia="zh-CN"/>
        </w:rPr>
        <w:t>适用范围</w:t>
      </w:r>
      <w:bookmarkEnd w:id="2"/>
    </w:p>
    <w:p w14:paraId="2ECBD416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本计划适用于本项目运维服务全过程中与信息安全管理相关的活动，涵盖以下范围：</w:t>
      </w:r>
    </w:p>
    <w:p w14:paraId="30157DC9">
      <w:pPr>
        <w:pStyle w:val="3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信息系统：2025年国电电力湖南新能源系统运维项目、数据库、监控系统</w:t>
      </w:r>
    </w:p>
    <w:p w14:paraId="4AA2B78B">
      <w:pPr>
        <w:pStyle w:val="3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基础设施：服务器、网络设备、现场设备（服务器、工作站、监控设备）</w:t>
      </w:r>
    </w:p>
    <w:p w14:paraId="6BB9F115">
      <w:pPr>
        <w:pStyle w:val="3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数据资产：业务数据、配置数据、日志数据、备份数据</w:t>
      </w:r>
    </w:p>
    <w:p w14:paraId="4C356157">
      <w:pPr>
        <w:pStyle w:val="3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人员：项目运维人员、管理人员、第三方支持人员</w:t>
      </w:r>
    </w:p>
    <w:p w14:paraId="644B2CBD">
      <w:pPr>
        <w:pStyle w:val="3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场所：数据中心、办公区、客户风电场现场</w:t>
      </w:r>
    </w:p>
    <w:p w14:paraId="2EE710FE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" w:name="_Toc10741"/>
      <w:r>
        <w:rPr>
          <w:rFonts w:hint="default"/>
          <w:lang w:val="en-US" w:eastAsia="zh-CN"/>
        </w:rPr>
        <w:t>信息安全目标</w:t>
      </w:r>
      <w:bookmarkEnd w:id="3"/>
    </w:p>
    <w:p w14:paraId="6184A054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本计划设定以下信息安全目标，作为项目安全管理的工作指引：</w:t>
      </w:r>
    </w:p>
    <w:p w14:paraId="3E361F1B">
      <w:pPr>
        <w:pStyle w:val="32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信息安全事件：全年0次因我方人员造成的信息安全事件</w:t>
      </w:r>
    </w:p>
    <w:p w14:paraId="4527DB41">
      <w:pPr>
        <w:pStyle w:val="32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数据备份：关键数据每日备份成功率达到100%</w:t>
      </w:r>
    </w:p>
    <w:p w14:paraId="43FB4B46">
      <w:pPr>
        <w:pStyle w:val="32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访问控制：权限申请、变更、回收符合流程要求</w:t>
      </w:r>
    </w:p>
    <w:p w14:paraId="6BF64E8F">
      <w:pPr>
        <w:pStyle w:val="32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漏洞修复：高危漏洞在发现后7天内完成修复</w:t>
      </w:r>
    </w:p>
    <w:p w14:paraId="0906585F">
      <w:pPr>
        <w:pStyle w:val="32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安全培训：项目运维人员年度安全培训覆盖率达到100%</w:t>
      </w:r>
    </w:p>
    <w:p w14:paraId="66226217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" w:name="_Toc7584"/>
      <w:r>
        <w:rPr>
          <w:rFonts w:hint="default"/>
          <w:lang w:val="en-US" w:eastAsia="zh-CN"/>
        </w:rPr>
        <w:t>信息安全组织与职责</w:t>
      </w:r>
      <w:bookmarkEnd w:id="4"/>
    </w:p>
    <w:p w14:paraId="06439327">
      <w:pPr>
        <w:pStyle w:val="4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" w:name="_Toc16367"/>
      <w:r>
        <w:rPr>
          <w:rFonts w:hint="eastAsia"/>
          <w:lang w:val="en-US" w:eastAsia="zh-CN"/>
        </w:rPr>
        <w:t xml:space="preserve"> 信息安全组织职责表</w:t>
      </w:r>
      <w:bookmarkEnd w:id="5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05"/>
        <w:gridCol w:w="1699"/>
        <w:gridCol w:w="5018"/>
      </w:tblGrid>
      <w:tr w14:paraId="72C639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80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49324E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角色</w:t>
            </w:r>
          </w:p>
        </w:tc>
        <w:tc>
          <w:tcPr>
            <w:tcW w:w="169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05F9F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岗位</w:t>
            </w:r>
          </w:p>
        </w:tc>
        <w:tc>
          <w:tcPr>
            <w:tcW w:w="501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6EA73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职责</w:t>
            </w:r>
          </w:p>
        </w:tc>
      </w:tr>
      <w:tr w14:paraId="0D919E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0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410CB0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信息安全管理负责人</w:t>
            </w:r>
          </w:p>
        </w:tc>
        <w:tc>
          <w:tcPr>
            <w:tcW w:w="16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02C0C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运维部经理</w:t>
            </w:r>
          </w:p>
        </w:tc>
        <w:tc>
          <w:tcPr>
            <w:tcW w:w="501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13135E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负责项目信息安全整体管理，审批安全策略，监督安全措施执行</w:t>
            </w:r>
          </w:p>
        </w:tc>
      </w:tr>
      <w:tr w14:paraId="2D6D4D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0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2134EC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信息安全执行人</w:t>
            </w:r>
          </w:p>
        </w:tc>
        <w:tc>
          <w:tcPr>
            <w:tcW w:w="16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18C2E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运维项目经理</w:t>
            </w:r>
          </w:p>
        </w:tc>
        <w:tc>
          <w:tcPr>
            <w:tcW w:w="501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97D351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负责日常安全管理工作，组织风险评估，协调安全事件处理</w:t>
            </w:r>
          </w:p>
        </w:tc>
      </w:tr>
      <w:tr w14:paraId="34F6FE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0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2B0C1E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系统安全责任人</w:t>
            </w:r>
          </w:p>
        </w:tc>
        <w:tc>
          <w:tcPr>
            <w:tcW w:w="16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2ADC7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软件运维工程师</w:t>
            </w:r>
          </w:p>
        </w:tc>
        <w:tc>
          <w:tcPr>
            <w:tcW w:w="501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1715C9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负责系统安全配置、漏洞修复、访问控制管理</w:t>
            </w:r>
          </w:p>
        </w:tc>
      </w:tr>
      <w:tr w14:paraId="6AE223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0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E22C68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网络安全责任人</w:t>
            </w:r>
          </w:p>
        </w:tc>
        <w:tc>
          <w:tcPr>
            <w:tcW w:w="16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263D4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硬件运维工程师</w:t>
            </w:r>
          </w:p>
        </w:tc>
        <w:tc>
          <w:tcPr>
            <w:tcW w:w="501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98E877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负责网络设备安全配置、防火墙策略、入侵检测</w:t>
            </w:r>
          </w:p>
        </w:tc>
      </w:tr>
      <w:tr w14:paraId="61315C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0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46BF9F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数据安全责任人</w:t>
            </w:r>
          </w:p>
        </w:tc>
        <w:tc>
          <w:tcPr>
            <w:tcW w:w="16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0F5B7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软件运维工程师</w:t>
            </w:r>
          </w:p>
        </w:tc>
        <w:tc>
          <w:tcPr>
            <w:tcW w:w="501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32DAC2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负责数据备份、数据加密、数据恢复验证</w:t>
            </w:r>
          </w:p>
        </w:tc>
      </w:tr>
      <w:tr w14:paraId="67909D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0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6316A4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物理安全责任人</w:t>
            </w:r>
          </w:p>
        </w:tc>
        <w:tc>
          <w:tcPr>
            <w:tcW w:w="16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D0BBA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硬件运维工程师</w:t>
            </w:r>
          </w:p>
        </w:tc>
        <w:tc>
          <w:tcPr>
            <w:tcW w:w="501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2DE6E6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负责机房及设备物理安全、门禁管理</w:t>
            </w:r>
          </w:p>
        </w:tc>
      </w:tr>
      <w:tr w14:paraId="753C97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0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801CA3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安全监督人</w:t>
            </w:r>
          </w:p>
        </w:tc>
        <w:tc>
          <w:tcPr>
            <w:tcW w:w="169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C84FD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产品质量部专员</w:t>
            </w:r>
          </w:p>
        </w:tc>
        <w:tc>
          <w:tcPr>
            <w:tcW w:w="501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C69A0F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负责安全合规检查、安全审计</w:t>
            </w:r>
          </w:p>
        </w:tc>
      </w:tr>
    </w:tbl>
    <w:p w14:paraId="1414A1C7">
      <w:pPr>
        <w:pStyle w:val="4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 w14:paraId="36685CEF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14108"/>
      <w:r>
        <w:rPr>
          <w:rFonts w:hint="default"/>
          <w:lang w:val="en-US" w:eastAsia="zh-CN"/>
        </w:rPr>
        <w:t>信息资产识别与分类</w:t>
      </w:r>
      <w:bookmarkEnd w:id="6"/>
    </w:p>
    <w:p w14:paraId="7EA833F2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10659"/>
      <w:r>
        <w:rPr>
          <w:rFonts w:hint="default"/>
          <w:lang w:val="en-US" w:eastAsia="zh-CN"/>
        </w:rPr>
        <w:t>信息资产清单</w:t>
      </w:r>
      <w:bookmarkEnd w:id="7"/>
    </w:p>
    <w:p w14:paraId="166E94A7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项目主要信息资产包括以下几类：</w:t>
      </w:r>
    </w:p>
    <w:p w14:paraId="0E4F509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软件资产：新能源系统、MySQL数据库、监控系统</w:t>
      </w:r>
    </w:p>
    <w:p w14:paraId="4CF8287E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硬件资产：应用服务器、数据库服务器、网络设备（路由器、交换机）、现场设备（服务器、工作站、监控设备）</w:t>
      </w:r>
    </w:p>
    <w:p w14:paraId="3511B6DD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数据资产：业务数据（数据监控、会员、订单）、配置数据、日志数据、备份数据</w:t>
      </w:r>
    </w:p>
    <w:p w14:paraId="2BE9F4F7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文档资产：技术文档、操作手册、安全策略、应急预案</w:t>
      </w:r>
    </w:p>
    <w:p w14:paraId="7876EAFA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32716"/>
      <w:r>
        <w:rPr>
          <w:rFonts w:hint="default"/>
          <w:lang w:val="en-US" w:eastAsia="zh-CN"/>
        </w:rPr>
        <w:t>信息资产分级</w:t>
      </w:r>
      <w:bookmarkEnd w:id="8"/>
    </w:p>
    <w:p w14:paraId="63F1EC03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根据信息资产的重要程度和影响范围，划分为三个安全等级：</w:t>
      </w:r>
    </w:p>
    <w:p w14:paraId="10A80A18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高等级资产：客户业务数据、数据库、系统核心配置、授权文件。此类资产泄露或损坏将造成严重影响，需采取最高级别保护措施，包括存储加密、传输加密、严格访问控制。</w:t>
      </w:r>
    </w:p>
    <w:p w14:paraId="1BAA2E60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中等级资产：系统配置、监控数据、技术方案、运维报告。此类资产泄露或损坏将造成一定影响，需采取标准安全保护措施。</w:t>
      </w:r>
    </w:p>
    <w:p w14:paraId="2F52723C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低等级资产：日常记录、培训资料、日志文件。此类资产影响较小，采取基础安全保护措施即可。</w:t>
      </w:r>
    </w:p>
    <w:p w14:paraId="4826AA61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29700"/>
      <w:r>
        <w:rPr>
          <w:rFonts w:hint="default"/>
          <w:lang w:val="en-US" w:eastAsia="zh-CN"/>
        </w:rPr>
        <w:t>信息安全风险评估</w:t>
      </w:r>
      <w:bookmarkEnd w:id="9"/>
    </w:p>
    <w:p w14:paraId="3CC9BE08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29556"/>
      <w:r>
        <w:rPr>
          <w:rFonts w:hint="default"/>
          <w:lang w:val="en-US" w:eastAsia="zh-CN"/>
        </w:rPr>
        <w:t>主要风险识别</w:t>
      </w:r>
      <w:bookmarkEnd w:id="10"/>
    </w:p>
    <w:p w14:paraId="2A84DC54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项目面临的主要信息安全风险包括：</w:t>
      </w:r>
    </w:p>
    <w:p w14:paraId="3F1C28A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技术风险：系统漏洞可能被利用导致数据泄露或系统入侵；数据库遭受攻击；网络入侵造成服务中断。</w:t>
      </w:r>
    </w:p>
    <w:p w14:paraId="65399C06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数据风险：客户数据泄露；数据丢失或损坏；备份失效无法恢复。</w:t>
      </w:r>
    </w:p>
    <w:p w14:paraId="4BF4AD33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人员风险：权限滥用造成数据泄露；操作失误导致配置错误；离职人员泄密。</w:t>
      </w:r>
    </w:p>
    <w:p w14:paraId="5235338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环境风险：机房未授权进入；现场设备被盗。</w:t>
      </w:r>
    </w:p>
    <w:p w14:paraId="434DDB60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1" w:name="_Toc24650"/>
      <w:r>
        <w:rPr>
          <w:rFonts w:hint="default"/>
          <w:lang w:val="en-US" w:eastAsia="zh-CN"/>
        </w:rPr>
        <w:t>风险应对措施</w:t>
      </w:r>
      <w:bookmarkEnd w:id="11"/>
    </w:p>
    <w:p w14:paraId="51B64F9B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针对识别的高风险项，采取以下应对措施：</w:t>
      </w:r>
    </w:p>
    <w:p w14:paraId="1DE68AC6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系统漏洞风险：定期进行漏洞扫描，及时安装安全补丁，高危补丁在7天内完成安装</w:t>
      </w:r>
    </w:p>
    <w:p w14:paraId="6527AC1A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数据安全风险：每日全量备份并异地存储，每周验证备份可用性；高密级数据存储加密，传输使用HTTPS/SSH</w:t>
      </w:r>
    </w:p>
    <w:p w14:paraId="517EA03C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访问控制风险：遵循最小权限原则，账户申请需经审批，离职人员权限及时回收，每季度审计账户权限</w:t>
      </w:r>
    </w:p>
    <w:p w14:paraId="2FBE8C5D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网络安全风险：配置防火墙最小开放原则，部署入侵检测系统，远程运维通过VPN接入</w:t>
      </w:r>
    </w:p>
    <w:p w14:paraId="5D63A995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2" w:name="_Toc6664"/>
      <w:r>
        <w:rPr>
          <w:rFonts w:hint="default"/>
          <w:lang w:val="en-US" w:eastAsia="zh-CN"/>
        </w:rPr>
        <w:t>信息安全管控措施</w:t>
      </w:r>
      <w:bookmarkEnd w:id="12"/>
    </w:p>
    <w:p w14:paraId="60F096BF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3" w:name="_Toc26361"/>
      <w:r>
        <w:rPr>
          <w:rFonts w:hint="default"/>
          <w:lang w:val="en-US" w:eastAsia="zh-CN"/>
        </w:rPr>
        <w:t>访问控制管理</w:t>
      </w:r>
      <w:bookmarkEnd w:id="13"/>
    </w:p>
    <w:p w14:paraId="12F0C5C6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访问控制遵循“最小权限、按需分配、定期审计”的原则。所有账户申请需经运维部经理审批，离职人员权限在离职当日完成回收。密码策略要求密码长度不少于8位，包含大小写字母、数字和特殊字符，每90天强制更换。特权账户仅授权特定人员使用，所有操作需记录日志。产品质量部专员每季度对账户权限进行审计，及时清理过期账户。</w:t>
      </w:r>
    </w:p>
    <w:p w14:paraId="049D6FD0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4" w:name="_Toc24791"/>
      <w:r>
        <w:rPr>
          <w:rFonts w:hint="default"/>
          <w:lang w:val="en-US" w:eastAsia="zh-CN"/>
        </w:rPr>
        <w:t>数据安全管理</w:t>
      </w:r>
      <w:bookmarkEnd w:id="14"/>
    </w:p>
    <w:p w14:paraId="435746D6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安全管理的核心是确保数据的机密性、完整性和可用性。业务数据每日进行全量备份，保留周期为30天，同时执行异地备份以防本地灾难。每周验证备份数据的可用性，每季度组织数据恢复演练。高密级数据在存储和传输过程中均进行加密，使用HTTPS或SSH协议。数据销毁需经审批，物理介质销毁时留有记录。</w:t>
      </w:r>
    </w:p>
    <w:p w14:paraId="42B756AE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9113"/>
      <w:r>
        <w:rPr>
          <w:rFonts w:hint="default"/>
          <w:lang w:val="en-US" w:eastAsia="zh-CN"/>
        </w:rPr>
        <w:t>网络安全防护</w:t>
      </w:r>
      <w:bookmarkEnd w:id="15"/>
    </w:p>
    <w:p w14:paraId="2876BF00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网络防护措施包括：生产环境与办公环境进行网络隔离，防止非授权访问；防火墙采用最小开放原则，仅开放业务必要端口；远程运维通过VPN接入，并启用多因素认证；部署入侵检测系统，定期分析告警日志。</w:t>
      </w:r>
    </w:p>
    <w:p w14:paraId="7F2EEFFA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4853"/>
      <w:r>
        <w:rPr>
          <w:rFonts w:hint="default"/>
          <w:lang w:val="en-US" w:eastAsia="zh-CN"/>
        </w:rPr>
        <w:t>系统安全加固</w:t>
      </w:r>
      <w:bookmarkEnd w:id="16"/>
    </w:p>
    <w:p w14:paraId="19F6559A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安全方面，每月检查系统补丁状态，高危补丁在7天内完成安装。服务器部署防病毒软件，定期更新病毒库。系统日志保留90天，定期审计异常访问。遵循最小化安装原则，仅安装必要软件和服务，禁用默认账户，删除测试账户。</w:t>
      </w:r>
    </w:p>
    <w:p w14:paraId="5BA672C9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1007"/>
      <w:r>
        <w:rPr>
          <w:rFonts w:hint="default"/>
          <w:lang w:val="en-US" w:eastAsia="zh-CN"/>
        </w:rPr>
        <w:t>物理安全防护</w:t>
      </w:r>
      <w:bookmarkEnd w:id="17"/>
    </w:p>
    <w:p w14:paraId="5E5EDE97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物理安全措施包括：机房设置门禁系统，出入需登记，非授权人员进入需有专人陪同。服务器上锁固定，现场设备安装于安全位置。机房配置温湿度监控、UPS电源和空调监控，确保环境稳定。设备报废前彻底清除数据，留有销毁记录。</w:t>
      </w:r>
    </w:p>
    <w:p w14:paraId="166C15D5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519"/>
      <w:r>
        <w:rPr>
          <w:rFonts w:hint="default"/>
          <w:lang w:val="en-US" w:eastAsia="zh-CN"/>
        </w:rPr>
        <w:t>人员安全管理</w:t>
      </w:r>
      <w:bookmarkEnd w:id="18"/>
    </w:p>
    <w:p w14:paraId="2A84E010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员安全管理覆盖员工全生命周期。入职时签订保密协议，接受安全培训；在职期间定期参加安全培训，明确岗位安全职责；离职时回收所有权限，交接资产，签署离职保密承诺书。第三方人员需签署保密协议，按最小权限原则授权，定期评估其服务安全性。</w:t>
      </w:r>
    </w:p>
    <w:p w14:paraId="4BB889D8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9" w:name="_Toc10777"/>
      <w:r>
        <w:rPr>
          <w:rFonts w:hint="default"/>
          <w:lang w:val="en-US" w:eastAsia="zh-CN"/>
        </w:rPr>
        <w:t>信息安全事件管理</w:t>
      </w:r>
      <w:bookmarkEnd w:id="19"/>
    </w:p>
    <w:p w14:paraId="3747DC6C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0" w:name="_Toc19071"/>
      <w:r>
        <w:rPr>
          <w:rFonts w:hint="default"/>
          <w:lang w:val="en-US" w:eastAsia="zh-CN"/>
        </w:rPr>
        <w:t>事件分级</w:t>
      </w:r>
      <w:bookmarkEnd w:id="20"/>
    </w:p>
    <w:p w14:paraId="0871055E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安全事件根据影响程度分为三个等级：</w:t>
      </w:r>
    </w:p>
    <w:p w14:paraId="13EDDE5F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一级（重大）：数据泄露、系统被入侵、服务中断，需立即响应，15分钟内上报副总经理</w:t>
      </w:r>
    </w:p>
    <w:p w14:paraId="758DCA6C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二级（严重）：权限滥用、病毒爆发、数据损坏，需30分钟内上报运维部经理并启动应急</w:t>
      </w:r>
    </w:p>
    <w:p w14:paraId="161B4BCB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三级（一般）：异常访问、配置错误、告警触发，需2小时内处理完成</w:t>
      </w:r>
    </w:p>
    <w:p w14:paraId="71A4DFCC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1" w:name="_Toc24684"/>
      <w:r>
        <w:rPr>
          <w:rFonts w:hint="default"/>
          <w:lang w:val="en-US" w:eastAsia="zh-CN"/>
        </w:rPr>
        <w:t>事件响应流程</w:t>
      </w:r>
      <w:bookmarkEnd w:id="21"/>
    </w:p>
    <w:p w14:paraId="14CCD75A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事件响应遵循以下流程：发现事件后立即上报；确认事件类型和影响范围；执行应急预案控制影响；恢复系统并验证安全性；事后分析原因，制定改进措施。所有事件处理过程需完整记录，作为后续改进的输入。</w:t>
      </w:r>
    </w:p>
    <w:p w14:paraId="5D5E9FCB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2" w:name="_Toc13946"/>
      <w:r>
        <w:rPr>
          <w:rFonts w:hint="default"/>
          <w:lang w:val="en-US" w:eastAsia="zh-CN"/>
        </w:rPr>
        <w:t>信息安全培训与意识</w:t>
      </w:r>
      <w:bookmarkEnd w:id="22"/>
    </w:p>
    <w:p w14:paraId="06EF4CE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为提升项目人员的安全意识和操作技能，定期组织安全培训：</w:t>
      </w:r>
    </w:p>
    <w:p w14:paraId="103C28CB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入职培训：新员工入职时接受信息安全政策培训，了解基本安全要求</w:t>
      </w:r>
    </w:p>
    <w:p w14:paraId="6A8F1090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安全操作培训：每半年组织运维人员学习安全操作规范，包括数据保护、权限管理等内容</w:t>
      </w:r>
    </w:p>
    <w:p w14:paraId="2FBA34A6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应急响应演练：每年组织一次应急响应实战演练，验证应急预案有效性</w:t>
      </w:r>
    </w:p>
    <w:p w14:paraId="0F15DF89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社会工程防范：每年开展社会工程防范培训，提升人员对钓鱼邮件、电话诈骗等攻击的识别能力</w:t>
      </w:r>
    </w:p>
    <w:p w14:paraId="19778E45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3" w:name="_Toc13627"/>
      <w:r>
        <w:rPr>
          <w:rFonts w:hint="default"/>
          <w:lang w:val="en-US" w:eastAsia="zh-CN"/>
        </w:rPr>
        <w:t>信息安全检查与审计</w:t>
      </w:r>
      <w:bookmarkEnd w:id="23"/>
    </w:p>
    <w:p w14:paraId="76BE852C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通过多层次检查机制确保安全措施有效执行：</w:t>
      </w:r>
    </w:p>
    <w:p w14:paraId="15496917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日常检查：每日检查备份状态、日志异常和系统告警</w:t>
      </w:r>
    </w:p>
    <w:p w14:paraId="07A42E00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周度检查：每周检查账户权限、系统补丁、病毒库更新情况</w:t>
      </w:r>
    </w:p>
    <w:p w14:paraId="714CA116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月度审计：每月审计访问日志和权限变更记录</w:t>
      </w:r>
    </w:p>
    <w:p w14:paraId="4D109E3C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季度检查：每季度进行漏洞扫描和安全配置检查</w:t>
      </w:r>
    </w:p>
    <w:p w14:paraId="7C340734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年度评估：每年组织风险评估和安全体系评估</w:t>
      </w:r>
    </w:p>
    <w:p w14:paraId="3CC15EE6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检查发现的问题纳入整改跟踪，确保闭环管理。</w:t>
      </w:r>
    </w:p>
    <w:bookmarkEnd w:id="2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1933BD37"/>
    <w:multiLevelType w:val="singleLevel"/>
    <w:tmpl w:val="1933BD3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31988672"/>
    <w:multiLevelType w:val="singleLevel"/>
    <w:tmpl w:val="3198867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4ED36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4">
    <w:name w:val="Default Paragraph Font"/>
    <w:semiHidden/>
    <w:qFormat/>
    <w:uiPriority w:val="0"/>
  </w:style>
  <w:style w:type="table" w:default="1" w:styleId="2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20">
    <w:name w:val="Normal (Web)"/>
    <w:basedOn w:val="1"/>
    <w:qFormat/>
    <w:uiPriority w:val="0"/>
    <w:rPr>
      <w:sz w:val="24"/>
    </w:rPr>
  </w:style>
  <w:style w:type="paragraph" w:styleId="21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3">
    <w:name w:val="Table Grid"/>
    <w:basedOn w:val="2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basedOn w:val="24"/>
    <w:qFormat/>
    <w:uiPriority w:val="0"/>
    <w:rPr>
      <w:b/>
    </w:rPr>
  </w:style>
  <w:style w:type="paragraph" w:customStyle="1" w:styleId="26">
    <w:name w:val="柴_文档修订信息"/>
    <w:basedOn w:val="1"/>
    <w:qFormat/>
    <w:uiPriority w:val="0"/>
    <w:pPr>
      <w:widowControl w:val="0"/>
      <w:ind w:firstLine="470" w:firstLineChars="200"/>
      <w:jc w:val="center"/>
    </w:pPr>
    <w:rPr>
      <w:rFonts w:hint="eastAsia" w:ascii="Arial" w:hAnsi="Arial"/>
      <w:b/>
      <w:bCs/>
      <w:sz w:val="24"/>
      <w:lang w:eastAsia="zh-CN"/>
    </w:rPr>
  </w:style>
  <w:style w:type="paragraph" w:customStyle="1" w:styleId="27">
    <w:name w:val="柴_公司名"/>
    <w:basedOn w:val="21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8">
    <w:name w:val="柴_文档名"/>
    <w:basedOn w:val="21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9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0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31">
    <w:name w:val="柴_标题1"/>
    <w:basedOn w:val="2"/>
    <w:next w:val="32"/>
    <w:link w:val="41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2">
    <w:name w:val="柴_正文"/>
    <w:basedOn w:val="12"/>
    <w:link w:val="44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3">
    <w:name w:val="柴_标题2"/>
    <w:basedOn w:val="3"/>
    <w:next w:val="32"/>
    <w:link w:val="47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4">
    <w:name w:val="柴_标题3"/>
    <w:basedOn w:val="4"/>
    <w:next w:val="32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5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6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9">
    <w:name w:val="Compact"/>
    <w:basedOn w:val="12"/>
    <w:qFormat/>
    <w:uiPriority w:val="0"/>
    <w:pPr>
      <w:spacing w:before="36" w:after="36"/>
    </w:pPr>
  </w:style>
  <w:style w:type="table" w:customStyle="1" w:styleId="4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1">
    <w:name w:val="柴_标题1 Char"/>
    <w:link w:val="31"/>
    <w:qFormat/>
    <w:uiPriority w:val="0"/>
    <w:rPr>
      <w:rFonts w:ascii="Arial" w:hAnsi="Arial" w:eastAsia="宋体"/>
      <w:sz w:val="32"/>
    </w:rPr>
  </w:style>
  <w:style w:type="paragraph" w:customStyle="1" w:styleId="42">
    <w:name w:val="柴_正文_无缩进"/>
    <w:basedOn w:val="1"/>
    <w:link w:val="46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3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4">
    <w:name w:val="柴_正文 Char"/>
    <w:link w:val="32"/>
    <w:qFormat/>
    <w:uiPriority w:val="0"/>
    <w:rPr>
      <w:rFonts w:ascii="Arial" w:hAnsi="Arial" w:eastAsia="宋体"/>
      <w:sz w:val="24"/>
      <w:lang w:eastAsia="zh-CN"/>
    </w:rPr>
  </w:style>
  <w:style w:type="table" w:customStyle="1" w:styleId="45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6">
    <w:name w:val="柴_正文_无缩进 Char"/>
    <w:link w:val="42"/>
    <w:qFormat/>
    <w:uiPriority w:val="0"/>
    <w:rPr>
      <w:rFonts w:ascii="Arial" w:hAnsi="Arial"/>
      <w:sz w:val="24"/>
      <w:lang w:eastAsia="zh-CN"/>
    </w:rPr>
  </w:style>
  <w:style w:type="character" w:customStyle="1" w:styleId="47">
    <w:name w:val="柴_标题2 Char"/>
    <w:link w:val="33"/>
    <w:qFormat/>
    <w:uiPriority w:val="0"/>
    <w:rPr>
      <w:rFonts w:ascii="Arial" w:hAnsi="Arial" w:eastAsia="宋体"/>
      <w:sz w:val="28"/>
    </w:rPr>
  </w:style>
  <w:style w:type="character" w:customStyle="1" w:styleId="48">
    <w:name w:val="柴_题注 Char"/>
    <w:link w:val="49"/>
    <w:qFormat/>
    <w:uiPriority w:val="0"/>
  </w:style>
  <w:style w:type="paragraph" w:customStyle="1" w:styleId="49">
    <w:name w:val="柴_题注"/>
    <w:basedOn w:val="19"/>
    <w:link w:val="48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787</Words>
  <Characters>920</Characters>
  <Lines>0</Lines>
  <Paragraphs>0</Paragraphs>
  <TotalTime>1</TotalTime>
  <ScaleCrop>false</ScaleCrop>
  <LinksUpToDate>false</LinksUpToDate>
  <CharactersWithSpaces>970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2026-03-11T00:26:00Z</dcterms:created>
  <dc:creator>asus</dc:creator>
  <cp:lastModifiedBy>郝宇</cp:lastModifiedBy>
  <dcterms:modified xsi:type="dcterms:W3CDTF">2026-06-11T04:01:54Z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eyJoZGlkIjoiZWI4NmUzMGY2ODA3MDc4ZTFlMjZjZTAyMjM0NmVmODgiLCJ1c2VySWQiOiIxMDc1MzgyOSJ9</vt:lpwstr>
  </property>
</Properties>
</file>