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bidi w:val="0"/>
        <w:rPr>
          <w:rFonts w:hint="default"/>
          <w:lang w:val="en-US" w:eastAsia="zh-CN"/>
        </w:rPr>
      </w:pPr>
      <w:bookmarkStart w:id="0" w:name="_GoBack"/>
      <w:bookmarkStart w:id="1" w:name="_Toc18653"/>
      <w:r>
        <w:drawing>
          <wp:anchor distT="0" distB="0" distL="114300" distR="114300" simplePos="0" relativeHeight="251658240"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7609840" cy="9761855"/>
                    </a:xfrm>
                    <a:prstGeom prst="rect">
                      <a:avLst/>
                    </a:prstGeom>
                    <a:noFill/>
                    <a:ln>
                      <a:noFill/>
                    </a:ln>
                  </pic:spPr>
                </pic:pic>
              </a:graphicData>
            </a:graphic>
          </wp:anchor>
        </w:drawing>
      </w:r>
      <w:bookmarkEnd w:id="0"/>
      <w:r>
        <w:rPr>
          <w:rFonts w:hint="eastAsia"/>
          <w:lang w:val="en-US" w:eastAsia="zh-CN"/>
        </w:rPr>
        <w:t>天津市华夏电缆有限公司</w:t>
      </w:r>
      <w:bookmarkEnd w:id="1"/>
    </w:p>
    <w:p>
      <w:pPr>
        <w:pStyle w:val="a0"/>
        <w:keepNext w:val="0"/>
        <w:keepLines w:val="0"/>
        <w:pageBreakBefore w:val="0"/>
        <w:widowControl/>
        <w:kinsoku w:val="0"/>
        <w:wordWrap/>
        <w:overflowPunct/>
        <w:topLinePunct w:val="0"/>
        <w:autoSpaceDE w:val="0"/>
        <w:autoSpaceDN w:val="0"/>
        <w:bidi w:val="0"/>
        <w:adjustRightInd w:val="0"/>
        <w:snapToGrid w:val="0"/>
        <w:spacing w:after="0" w:afterLines="0"/>
        <w:textAlignment w:val="baseline"/>
        <w:rPr>
          <w:rFonts w:hint="default"/>
          <w:lang w:val="en-US" w:eastAsia="zh-CN"/>
        </w:rPr>
      </w:pPr>
      <w:bookmarkStart w:id="2" w:name="_Toc3108"/>
      <w:r>
        <w:rPr>
          <w:rFonts w:hint="eastAsia"/>
          <w:lang w:val="en-US" w:eastAsia="zh-CN"/>
        </w:rPr>
        <w:t>应急管理制度</w:t>
      </w:r>
      <w:bookmarkEnd w:id="2"/>
    </w:p>
    <w:p>
      <w:pPr>
        <w:pStyle w:val="a0"/>
        <w:keepNext w:val="0"/>
        <w:keepLines w:val="0"/>
        <w:pageBreakBefore w:val="0"/>
        <w:widowControl/>
        <w:kinsoku w:val="0"/>
        <w:wordWrap/>
        <w:overflowPunct/>
        <w:topLinePunct w:val="0"/>
        <w:autoSpaceDE w:val="0"/>
        <w:autoSpaceDN w:val="0"/>
        <w:bidi w:val="0"/>
        <w:adjustRightInd w:val="0"/>
        <w:snapToGrid w:val="0"/>
        <w:spacing w:after="0" w:afterLines="0"/>
        <w:textAlignment w:val="baseline"/>
        <w:rPr>
          <w:rFonts w:hint="eastAsia"/>
          <w:lang w:val="en-US" w:eastAsia="zh-CN"/>
        </w:rPr>
      </w:pPr>
      <w:bookmarkStart w:id="3" w:name="_Toc14475"/>
      <w:r>
        <w:rPr>
          <w:rFonts w:hint="eastAsia"/>
          <w:lang w:val="en-US" w:eastAsia="zh-CN"/>
        </w:rPr>
        <w:t>（HXDL-ITSS-1001）</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lang w:val="en-US" w:eastAsia="zh-CN"/>
              </w:rPr>
            </w:pPr>
            <w:r>
              <w:rPr>
                <w:rFonts w:hint="eastAsia"/>
                <w:lang w:val="en-US" w:eastAsia="zh-CN"/>
              </w:rPr>
              <w:t>编制人</w:t>
            </w:r>
            <w:r>
              <w:rPr>
                <w:rFonts w:hint="default"/>
                <w:lang w:val="en-US" w:eastAsia="zh-CN"/>
              </w:rPr>
              <w:t>:</w:t>
            </w:r>
            <w:r>
              <w:rPr>
                <w:rFonts w:hint="eastAsia"/>
                <w:u w:val="single"/>
                <w:lang w:val="en-US" w:eastAsia="zh-CN"/>
              </w:rPr>
              <w:t>赵川华</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编制时间:</w:t>
            </w:r>
            <w:r>
              <w:rPr>
                <w:rFonts w:hint="eastAsia"/>
                <w:u w:val="singl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lang w:val="en-US" w:eastAsia="zh-CN"/>
              </w:rPr>
            </w:pPr>
            <w:r>
              <w:rPr>
                <w:rFonts w:hint="eastAsia"/>
                <w:lang w:val="en-US" w:eastAsia="zh-CN"/>
              </w:rPr>
              <w:t>审核人</w:t>
            </w:r>
            <w:r>
              <w:rPr>
                <w:rFonts w:hint="default"/>
                <w:lang w:val="en-US" w:eastAsia="zh-CN"/>
              </w:rPr>
              <w:t>:</w:t>
            </w:r>
            <w:r>
              <w:rPr>
                <w:rFonts w:hint="eastAsia"/>
                <w:u w:val="single"/>
                <w:lang w:val="en-US" w:eastAsia="zh-CN"/>
              </w:rPr>
              <w:t>张智宏</w:t>
            </w:r>
          </w:p>
        </w:tc>
        <w:tc>
          <w:tcPr>
            <w:tcW w:w="4261"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编制时间:</w:t>
            </w:r>
            <w:r>
              <w:rPr>
                <w:rFonts w:hint="eastAsia"/>
                <w:u w:val="singl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lang w:val="en-US" w:eastAsia="zh-CN"/>
              </w:rPr>
            </w:pPr>
            <w:r>
              <w:rPr>
                <w:rFonts w:hint="eastAsia"/>
                <w:lang w:val="en-US" w:eastAsia="zh-CN"/>
              </w:rPr>
              <w:t>批准人:</w:t>
            </w:r>
            <w:r>
              <w:rPr>
                <w:rFonts w:hint="eastAsia"/>
                <w:u w:val="single"/>
                <w:lang w:val="en-US" w:eastAsia="zh-CN"/>
              </w:rPr>
              <w:t>陈垒</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审批时间:</w:t>
            </w:r>
            <w:r>
              <w:rPr>
                <w:rFonts w:hint="eastAsia"/>
                <w:u w:val="single"/>
                <w:lang w:val="en-US" w:eastAsia="zh-CN"/>
              </w:rPr>
              <w:t>2025.07.07</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文件编制和变更履历</w:t>
      </w:r>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版本</w:t>
            </w:r>
          </w:p>
        </w:tc>
        <w:tc>
          <w:tcPr>
            <w:tcW w:w="2155" w:type="dxa"/>
            <w:gridSpan w:val="2"/>
            <w:tcBorders>
              <w:top w:val="single" w:sz="10" w:space="0" w:color="000000"/>
            </w:tcBorders>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编制/更改</w:t>
            </w:r>
          </w:p>
        </w:tc>
        <w:tc>
          <w:tcPr>
            <w:tcW w:w="2334" w:type="dxa"/>
            <w:gridSpan w:val="2"/>
            <w:tcBorders>
              <w:top w:val="single" w:sz="10" w:space="0" w:color="000000"/>
            </w:tcBorders>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发布</w:t>
            </w:r>
          </w:p>
        </w:tc>
        <w:tc>
          <w:tcPr>
            <w:tcW w:w="2288" w:type="dxa"/>
            <w:gridSpan w:val="2"/>
            <w:tcBorders>
              <w:top w:val="single" w:sz="10" w:space="0" w:color="000000"/>
            </w:tcBorders>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实施</w:t>
            </w:r>
          </w:p>
        </w:tc>
        <w:tc>
          <w:tcPr>
            <w:tcW w:w="1383" w:type="dxa"/>
            <w:vMerge w:val="restart"/>
            <w:tcBorders>
              <w:top w:val="single" w:sz="10" w:space="0" w:color="000000"/>
              <w:bottom w:val="nil"/>
              <w:right w:val="single" w:sz="10" w:space="0" w:color="000000"/>
            </w:tcBorders>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81" w:type="dxa"/>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作者</w:t>
            </w:r>
          </w:p>
        </w:tc>
        <w:tc>
          <w:tcPr>
            <w:tcW w:w="1274" w:type="dxa"/>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日期</w:t>
            </w:r>
          </w:p>
        </w:tc>
        <w:tc>
          <w:tcPr>
            <w:tcW w:w="957" w:type="dxa"/>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审核</w:t>
            </w:r>
          </w:p>
        </w:tc>
        <w:tc>
          <w:tcPr>
            <w:tcW w:w="1377" w:type="dxa"/>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日期</w:t>
            </w:r>
          </w:p>
        </w:tc>
        <w:tc>
          <w:tcPr>
            <w:tcW w:w="1017" w:type="dxa"/>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批准</w:t>
            </w:r>
          </w:p>
        </w:tc>
        <w:tc>
          <w:tcPr>
            <w:tcW w:w="1271" w:type="dxa"/>
            <w:shd w:val="clear" w:color="auto" w:fill="D9D9D9"/>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日期</w:t>
            </w:r>
          </w:p>
        </w:tc>
        <w:tc>
          <w:tcPr>
            <w:tcW w:w="1383" w:type="dxa"/>
            <w:vMerge/>
            <w:tcBorders>
              <w:top w:val="nil"/>
              <w:righ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V1.0</w:t>
            </w:r>
          </w:p>
        </w:tc>
        <w:tc>
          <w:tcPr>
            <w:tcW w:w="881"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赵川华</w:t>
            </w:r>
          </w:p>
        </w:tc>
        <w:tc>
          <w:tcPr>
            <w:tcW w:w="1274"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2025.7.7</w:t>
            </w:r>
          </w:p>
        </w:tc>
        <w:tc>
          <w:tcPr>
            <w:tcW w:w="957"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张智宏</w:t>
            </w:r>
          </w:p>
        </w:tc>
        <w:tc>
          <w:tcPr>
            <w:tcW w:w="1377"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2025.7.7</w:t>
            </w:r>
          </w:p>
        </w:tc>
        <w:tc>
          <w:tcPr>
            <w:tcW w:w="1017"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陈垒</w:t>
            </w:r>
          </w:p>
        </w:tc>
        <w:tc>
          <w:tcPr>
            <w:tcW w:w="1271"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2025.7.7</w:t>
            </w:r>
          </w:p>
        </w:tc>
        <w:tc>
          <w:tcPr>
            <w:tcW w:w="1383" w:type="dxa"/>
            <w:tcBorders>
              <w:righ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8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4"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57"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77"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17"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83" w:type="dxa"/>
            <w:tcBorders>
              <w:righ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81" w:type="dxa"/>
            <w:tcBorders>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4" w:type="dxa"/>
            <w:tcBorders>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57" w:type="dxa"/>
            <w:tcBorders>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77" w:type="dxa"/>
            <w:tcBorders>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17" w:type="dxa"/>
            <w:tcBorders>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1" w:type="dxa"/>
            <w:tcBorders>
              <w:bottom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383" w:type="dxa"/>
            <w:tcBorders>
              <w:bottom w:val="single" w:sz="10" w:space="0" w:color="000000"/>
              <w:right w:val="single" w:sz="10" w:space="0" w:color="000000"/>
            </w:tcBorders>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5679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bookmarkStart w:id="4" w:name="heading_1"/>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_Toc18653 </w:instrText>
          </w:r>
          <w:r>
            <w:fldChar w:fldCharType="separate"/>
          </w:r>
          <w:r>
            <w:rPr>
              <w:rFonts w:hint="eastAsia"/>
              <w:lang w:val="en-US" w:eastAsia="zh-CN"/>
            </w:rPr>
            <w:t>天津市华夏电缆有限公司</w:t>
          </w:r>
          <w:r>
            <w:tab/>
          </w:r>
          <w:r>
            <w:fldChar w:fldCharType="begin"/>
          </w:r>
          <w:r>
            <w:instrText xml:space="preserve"> PAGEREF _Toc18653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_Toc3108 </w:instrText>
          </w:r>
          <w:r>
            <w:fldChar w:fldCharType="separate"/>
          </w:r>
          <w:r>
            <w:rPr>
              <w:rFonts w:hint="eastAsia"/>
              <w:lang w:val="en-US" w:eastAsia="zh-CN"/>
            </w:rPr>
            <w:t>应急管理制度</w:t>
          </w:r>
          <w:r>
            <w:tab/>
          </w:r>
          <w:r>
            <w:fldChar w:fldCharType="begin"/>
          </w:r>
          <w:r>
            <w:instrText xml:space="preserve"> PAGEREF _Toc3108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_Toc14475 </w:instrText>
          </w:r>
          <w:r>
            <w:fldChar w:fldCharType="separate"/>
          </w:r>
          <w:r>
            <w:rPr>
              <w:rFonts w:hint="eastAsia"/>
              <w:lang w:val="en-US" w:eastAsia="zh-CN"/>
            </w:rPr>
            <w:t>（HXDL-ITSS-1001）</w:t>
          </w:r>
          <w:r>
            <w:tab/>
          </w:r>
          <w:r>
            <w:fldChar w:fldCharType="begin"/>
          </w:r>
          <w:r>
            <w:instrText xml:space="preserve"> PAGEREF _Toc14475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_Toc29264 </w:instrText>
          </w:r>
          <w:r>
            <w:fldChar w:fldCharType="separate"/>
          </w:r>
          <w:r>
            <w:rPr>
              <w:rFonts w:hint="default"/>
            </w:rPr>
            <w:t xml:space="preserve">1. </w:t>
          </w:r>
          <w:r>
            <w:t>目的</w:t>
          </w:r>
          <w:r>
            <w:tab/>
          </w:r>
          <w:r>
            <w:fldChar w:fldCharType="begin"/>
          </w:r>
          <w:r>
            <w:instrText xml:space="preserve"> PAGEREF _Toc29264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_Toc25348 </w:instrText>
          </w:r>
          <w:r>
            <w:fldChar w:fldCharType="separate"/>
          </w:r>
          <w:r>
            <w:rPr>
              <w:rFonts w:hint="default"/>
            </w:rPr>
            <w:t xml:space="preserve">2. </w:t>
          </w:r>
          <w:r>
            <w:t>适用范围</w:t>
          </w:r>
          <w:r>
            <w:tab/>
          </w:r>
          <w:r>
            <w:fldChar w:fldCharType="begin"/>
          </w:r>
          <w:r>
            <w:instrText xml:space="preserve"> PAGEREF _Toc25348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_Toc26129 </w:instrText>
          </w:r>
          <w:r>
            <w:fldChar w:fldCharType="separate"/>
          </w:r>
          <w:r>
            <w:rPr>
              <w:rFonts w:hint="default"/>
            </w:rPr>
            <w:t xml:space="preserve">3. </w:t>
          </w:r>
          <w:r>
            <w:t>原则</w:t>
          </w:r>
          <w:r>
            <w:tab/>
          </w:r>
          <w:r>
            <w:fldChar w:fldCharType="begin"/>
          </w:r>
          <w:r>
            <w:instrText xml:space="preserve"> PAGEREF _Toc26129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_Toc4060 </w:instrText>
          </w:r>
          <w:r>
            <w:fldChar w:fldCharType="separate"/>
          </w:r>
          <w:r>
            <w:rPr>
              <w:rFonts w:hint="default"/>
            </w:rPr>
            <w:t xml:space="preserve">4. </w:t>
          </w:r>
          <w:r>
            <w:t>术语</w:t>
          </w:r>
          <w:r>
            <w:tab/>
          </w:r>
          <w:r>
            <w:fldChar w:fldCharType="begin"/>
          </w:r>
          <w:r>
            <w:instrText xml:space="preserve"> PAGEREF _Toc4060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_Toc8790 </w:instrText>
          </w:r>
          <w:r>
            <w:fldChar w:fldCharType="separate"/>
          </w:r>
          <w:r>
            <w:rPr>
              <w:rFonts w:hint="default"/>
            </w:rPr>
            <w:t xml:space="preserve">5. </w:t>
          </w:r>
          <w:r>
            <w:t>角色与职责</w:t>
          </w:r>
          <w:r>
            <w:tab/>
          </w:r>
          <w:r>
            <w:fldChar w:fldCharType="begin"/>
          </w:r>
          <w:r>
            <w:instrText xml:space="preserve"> PAGEREF _Toc8790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_Toc334 </w:instrText>
          </w:r>
          <w:r>
            <w:fldChar w:fldCharType="separate"/>
          </w:r>
          <w:r>
            <w:rPr>
              <w:rFonts w:hint="default"/>
            </w:rPr>
            <w:t xml:space="preserve">6. </w:t>
          </w:r>
          <w:r>
            <w:t>应急响应过程</w:t>
          </w:r>
          <w:r>
            <w:tab/>
          </w:r>
          <w:r>
            <w:fldChar w:fldCharType="begin"/>
          </w:r>
          <w:r>
            <w:instrText xml:space="preserve"> PAGEREF _Toc334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_Toc3940 </w:instrText>
          </w:r>
          <w:r>
            <w:fldChar w:fldCharType="separate"/>
          </w:r>
          <w:r>
            <w:rPr>
              <w:rFonts w:hint="default"/>
            </w:rPr>
            <w:t xml:space="preserve">6.1. </w:t>
          </w:r>
          <w:r>
            <w:t>应急准备</w:t>
          </w:r>
          <w:r>
            <w:tab/>
          </w:r>
          <w:r>
            <w:fldChar w:fldCharType="begin"/>
          </w:r>
          <w:r>
            <w:instrText xml:space="preserve"> PAGEREF _Toc3940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_Toc22933 </w:instrText>
          </w:r>
          <w:r>
            <w:fldChar w:fldCharType="separate"/>
          </w:r>
          <w:r>
            <w:rPr>
              <w:rFonts w:hint="default"/>
            </w:rPr>
            <w:t xml:space="preserve">6.1.1. </w:t>
          </w:r>
          <w:r>
            <w:t>建立</w:t>
          </w:r>
          <w:r>
            <w:rPr>
              <w:rFonts w:hint="eastAsia"/>
              <w:lang w:eastAsia="zh-CN"/>
            </w:rPr>
            <w:t>应急管理部</w:t>
          </w:r>
          <w:r>
            <w:tab/>
          </w:r>
          <w:r>
            <w:fldChar w:fldCharType="begin"/>
          </w:r>
          <w:r>
            <w:instrText xml:space="preserve"> PAGEREF _Toc22933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_Toc32085 </w:instrText>
          </w:r>
          <w:r>
            <w:fldChar w:fldCharType="separate"/>
          </w:r>
          <w:r>
            <w:rPr>
              <w:rFonts w:hint="default"/>
            </w:rPr>
            <w:t xml:space="preserve">6.1.2. </w:t>
          </w:r>
          <w:r>
            <w:t>风险评估与改进</w:t>
          </w:r>
          <w:r>
            <w:tab/>
          </w:r>
          <w:r>
            <w:fldChar w:fldCharType="begin"/>
          </w:r>
          <w:r>
            <w:instrText xml:space="preserve"> PAGEREF _Toc32085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_Toc11275 </w:instrText>
          </w:r>
          <w:r>
            <w:fldChar w:fldCharType="separate"/>
          </w:r>
          <w:r>
            <w:rPr>
              <w:rFonts w:hint="default"/>
            </w:rPr>
            <w:t xml:space="preserve">6.1.3. </w:t>
          </w:r>
          <w:r>
            <w:t>划分应急事件级别</w:t>
          </w:r>
          <w:r>
            <w:tab/>
          </w:r>
          <w:r>
            <w:fldChar w:fldCharType="begin"/>
          </w:r>
          <w:r>
            <w:instrText xml:space="preserve"> PAGEREF _Toc11275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_Toc12090 </w:instrText>
          </w:r>
          <w:r>
            <w:fldChar w:fldCharType="separate"/>
          </w:r>
          <w:r>
            <w:rPr>
              <w:rFonts w:hint="default"/>
            </w:rPr>
            <w:t xml:space="preserve">6.1.4. </w:t>
          </w:r>
          <w:r>
            <w:t>应急响应预案制定</w:t>
          </w:r>
          <w:r>
            <w:tab/>
          </w:r>
          <w:r>
            <w:fldChar w:fldCharType="begin"/>
          </w:r>
          <w:r>
            <w:instrText xml:space="preserve"> PAGEREF _Toc12090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_Toc8239 </w:instrText>
          </w:r>
          <w:r>
            <w:fldChar w:fldCharType="separate"/>
          </w:r>
          <w:r>
            <w:rPr>
              <w:rFonts w:hint="default"/>
            </w:rPr>
            <w:t xml:space="preserve">6.2. </w:t>
          </w:r>
          <w:r>
            <w:t>监测与预警</w:t>
          </w:r>
          <w:r>
            <w:tab/>
          </w:r>
          <w:r>
            <w:fldChar w:fldCharType="begin"/>
          </w:r>
          <w:r>
            <w:instrText xml:space="preserve"> PAGEREF _Toc8239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_Toc9338 </w:instrText>
          </w:r>
          <w:r>
            <w:fldChar w:fldCharType="separate"/>
          </w:r>
          <w:r>
            <w:rPr>
              <w:rFonts w:hint="default"/>
            </w:rPr>
            <w:t xml:space="preserve">6.2.1. </w:t>
          </w:r>
          <w:r>
            <w:t>日常监测与预警</w:t>
          </w:r>
          <w:r>
            <w:tab/>
          </w:r>
          <w:r>
            <w:fldChar w:fldCharType="begin"/>
          </w:r>
          <w:r>
            <w:instrText xml:space="preserve"> PAGEREF _Toc9338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_Toc32265 </w:instrText>
          </w:r>
          <w:r>
            <w:fldChar w:fldCharType="separate"/>
          </w:r>
          <w:r>
            <w:rPr>
              <w:rFonts w:hint="default"/>
            </w:rPr>
            <w:t xml:space="preserve">6.2.2. </w:t>
          </w:r>
          <w:r>
            <w:t>核实与评估</w:t>
          </w:r>
          <w:r>
            <w:tab/>
          </w:r>
          <w:r>
            <w:fldChar w:fldCharType="begin"/>
          </w:r>
          <w:r>
            <w:instrText xml:space="preserve"> PAGEREF _Toc32265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_Toc14904 </w:instrText>
          </w:r>
          <w:r>
            <w:fldChar w:fldCharType="separate"/>
          </w:r>
          <w:r>
            <w:rPr>
              <w:rFonts w:hint="default"/>
            </w:rPr>
            <w:t xml:space="preserve">6.2.3. </w:t>
          </w:r>
          <w:r>
            <w:t>应急响应预案启动</w:t>
          </w:r>
          <w:r>
            <w:tab/>
          </w:r>
          <w:r>
            <w:fldChar w:fldCharType="begin"/>
          </w:r>
          <w:r>
            <w:instrText xml:space="preserve"> PAGEREF _Toc14904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_Toc30342 </w:instrText>
          </w:r>
          <w:r>
            <w:fldChar w:fldCharType="separate"/>
          </w:r>
          <w:r>
            <w:rPr>
              <w:rFonts w:hint="default"/>
            </w:rPr>
            <w:t xml:space="preserve">6.3. </w:t>
          </w:r>
          <w:r>
            <w:t>应急处置</w:t>
          </w:r>
          <w:r>
            <w:tab/>
          </w:r>
          <w:r>
            <w:fldChar w:fldCharType="begin"/>
          </w:r>
          <w:r>
            <w:instrText xml:space="preserve"> PAGEREF _Toc30342 \h </w:instrText>
          </w:r>
          <w:r>
            <w:fldChar w:fldCharType="separate"/>
          </w:r>
          <w:r>
            <w:t>10</w:t>
          </w:r>
          <w:r>
            <w:fldChar w:fldCharType="end"/>
          </w:r>
          <w:r>
            <w:fldChar w:fldCharType="end"/>
          </w:r>
        </w:p>
        <w:p>
          <w:pPr>
            <w:pStyle w:val="TOC3"/>
            <w:tabs>
              <w:tab w:val="right" w:leader="dot" w:pos="8306"/>
            </w:tabs>
          </w:pPr>
          <w:r>
            <w:fldChar w:fldCharType="begin"/>
          </w:r>
          <w:r>
            <w:instrText xml:space="preserve"> HYPERLINK \l _Toc19642 </w:instrText>
          </w:r>
          <w:r>
            <w:fldChar w:fldCharType="separate"/>
          </w:r>
          <w:r>
            <w:rPr>
              <w:rFonts w:hint="default"/>
            </w:rPr>
            <w:t xml:space="preserve">6.3.1. </w:t>
          </w:r>
          <w:r>
            <w:t>应急调度</w:t>
          </w:r>
          <w:r>
            <w:tab/>
          </w:r>
          <w:r>
            <w:fldChar w:fldCharType="begin"/>
          </w:r>
          <w:r>
            <w:instrText xml:space="preserve"> PAGEREF _Toc19642 \h </w:instrText>
          </w:r>
          <w:r>
            <w:fldChar w:fldCharType="separate"/>
          </w:r>
          <w:r>
            <w:t>10</w:t>
          </w:r>
          <w:r>
            <w:fldChar w:fldCharType="end"/>
          </w:r>
          <w:r>
            <w:fldChar w:fldCharType="end"/>
          </w:r>
        </w:p>
        <w:p>
          <w:pPr>
            <w:pStyle w:val="TOC3"/>
            <w:tabs>
              <w:tab w:val="right" w:leader="dot" w:pos="8306"/>
            </w:tabs>
          </w:pPr>
          <w:r>
            <w:fldChar w:fldCharType="begin"/>
          </w:r>
          <w:r>
            <w:instrText xml:space="preserve"> HYPERLINK \l _Toc20408 </w:instrText>
          </w:r>
          <w:r>
            <w:fldChar w:fldCharType="separate"/>
          </w:r>
          <w:r>
            <w:rPr>
              <w:rFonts w:hint="default"/>
            </w:rPr>
            <w:t xml:space="preserve">6.3.2. </w:t>
          </w:r>
          <w:r>
            <w:t>排查与诊断</w:t>
          </w:r>
          <w:r>
            <w:tab/>
          </w:r>
          <w:r>
            <w:fldChar w:fldCharType="begin"/>
          </w:r>
          <w:r>
            <w:instrText xml:space="preserve"> PAGEREF _Toc20408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_Toc290 </w:instrText>
          </w:r>
          <w:r>
            <w:fldChar w:fldCharType="separate"/>
          </w:r>
          <w:r>
            <w:rPr>
              <w:rFonts w:hint="default"/>
            </w:rPr>
            <w:t xml:space="preserve">6.3.3. </w:t>
          </w:r>
          <w:r>
            <w:t>处理与恢复</w:t>
          </w:r>
          <w:r>
            <w:tab/>
          </w:r>
          <w:r>
            <w:fldChar w:fldCharType="begin"/>
          </w:r>
          <w:r>
            <w:instrText xml:space="preserve"> PAGEREF _Toc290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_Toc7205 </w:instrText>
          </w:r>
          <w:r>
            <w:fldChar w:fldCharType="separate"/>
          </w:r>
          <w:r>
            <w:rPr>
              <w:rFonts w:hint="default"/>
            </w:rPr>
            <w:t xml:space="preserve">6.3.4. </w:t>
          </w:r>
          <w:r>
            <w:t>事件升级</w:t>
          </w:r>
          <w:r>
            <w:tab/>
          </w:r>
          <w:r>
            <w:fldChar w:fldCharType="begin"/>
          </w:r>
          <w:r>
            <w:instrText xml:space="preserve"> PAGEREF _Toc7205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_Toc25096 </w:instrText>
          </w:r>
          <w:r>
            <w:fldChar w:fldCharType="separate"/>
          </w:r>
          <w:r>
            <w:rPr>
              <w:rFonts w:hint="default"/>
            </w:rPr>
            <w:t xml:space="preserve">6.3.5. </w:t>
          </w:r>
          <w:r>
            <w:t>持续服务</w:t>
          </w:r>
          <w:r>
            <w:tab/>
          </w:r>
          <w:r>
            <w:fldChar w:fldCharType="begin"/>
          </w:r>
          <w:r>
            <w:instrText xml:space="preserve"> PAGEREF _Toc25096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_Toc7564 </w:instrText>
          </w:r>
          <w:r>
            <w:fldChar w:fldCharType="separate"/>
          </w:r>
          <w:r>
            <w:rPr>
              <w:rFonts w:hint="default"/>
            </w:rPr>
            <w:t xml:space="preserve">6.3.6. </w:t>
          </w:r>
          <w:r>
            <w:t>事件关闭</w:t>
          </w:r>
          <w:r>
            <w:tab/>
          </w:r>
          <w:r>
            <w:fldChar w:fldCharType="begin"/>
          </w:r>
          <w:r>
            <w:instrText xml:space="preserve"> PAGEREF _Toc7564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_Toc3497 </w:instrText>
          </w:r>
          <w:r>
            <w:fldChar w:fldCharType="separate"/>
          </w:r>
          <w:r>
            <w:rPr>
              <w:rFonts w:hint="default"/>
            </w:rPr>
            <w:t xml:space="preserve">6.4. </w:t>
          </w:r>
          <w:r>
            <w:t>总结改进</w:t>
          </w:r>
          <w:r>
            <w:tab/>
          </w:r>
          <w:r>
            <w:fldChar w:fldCharType="begin"/>
          </w:r>
          <w:r>
            <w:instrText xml:space="preserve"> PAGEREF _Toc3497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_Toc14020 </w:instrText>
          </w:r>
          <w:r>
            <w:fldChar w:fldCharType="separate"/>
          </w:r>
          <w:r>
            <w:rPr>
              <w:rFonts w:hint="default"/>
            </w:rPr>
            <w:t xml:space="preserve">6.4.1. </w:t>
          </w:r>
          <w:r>
            <w:t>应急工作总结</w:t>
          </w:r>
          <w:r>
            <w:tab/>
          </w:r>
          <w:r>
            <w:fldChar w:fldCharType="begin"/>
          </w:r>
          <w:r>
            <w:instrText xml:space="preserve"> PAGEREF _Toc14020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_Toc27339 </w:instrText>
          </w:r>
          <w:r>
            <w:fldChar w:fldCharType="separate"/>
          </w:r>
          <w:r>
            <w:rPr>
              <w:rFonts w:hint="default"/>
            </w:rPr>
            <w:t xml:space="preserve">6.4.2. </w:t>
          </w:r>
          <w:r>
            <w:t>应急工作审核</w:t>
          </w:r>
          <w:r>
            <w:tab/>
          </w:r>
          <w:r>
            <w:fldChar w:fldCharType="begin"/>
          </w:r>
          <w:r>
            <w:instrText xml:space="preserve"> PAGEREF _Toc27339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_Toc11683 </w:instrText>
          </w:r>
          <w:r>
            <w:fldChar w:fldCharType="separate"/>
          </w:r>
          <w:r>
            <w:rPr>
              <w:rFonts w:hint="default"/>
            </w:rPr>
            <w:t xml:space="preserve">6.4.3. </w:t>
          </w:r>
          <w:r>
            <w:t>应急工作改进</w:t>
          </w:r>
          <w:r>
            <w:tab/>
          </w:r>
          <w:r>
            <w:fldChar w:fldCharType="begin"/>
          </w:r>
          <w:r>
            <w:instrText xml:space="preserve"> PAGEREF _Toc11683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_Toc16773 </w:instrText>
          </w:r>
          <w: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_Toc16773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_Toc17679 </w:instrText>
          </w:r>
          <w:r>
            <w:fldChar w:fldCharType="separate"/>
          </w:r>
          <w:r>
            <w:rPr>
              <w:rFonts w:hint="default"/>
            </w:rPr>
            <w:t xml:space="preserve">8. </w:t>
          </w:r>
          <w:r>
            <w:t>输出文件与记录</w:t>
          </w:r>
          <w:r>
            <w:tab/>
          </w:r>
          <w:r>
            <w:fldChar w:fldCharType="begin"/>
          </w:r>
          <w:r>
            <w:instrText xml:space="preserve"> PAGEREF _Toc17679 \h </w:instrText>
          </w:r>
          <w:r>
            <w:fldChar w:fldCharType="separate"/>
          </w:r>
          <w:r>
            <w:t>14</w:t>
          </w:r>
          <w:r>
            <w:fldChar w:fldCharType="end"/>
          </w:r>
          <w:r>
            <w:fldChar w:fldCharType="end"/>
          </w:r>
        </w:p>
        <w:p>
          <w:r>
            <w:fldChar w:fldCharType="end"/>
          </w:r>
        </w:p>
      </w:sdtContent>
    </w:sdt>
    <w:p/>
    <w:p>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9264"/>
      <w:r>
        <w:t>目的</w:t>
      </w:r>
      <w:bookmarkEnd w:id="4"/>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为了规范运维业务应急响应管理过程，有效管理应急事件，以快速消除或降低事件影响，特制定本规范。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5348"/>
      <w:bookmarkStart w:id="7" w:name="heading_2"/>
      <w:r>
        <w:t>适用范围</w:t>
      </w:r>
      <w:bookmarkEnd w:id="6"/>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本规范适用于青岛通产智能运维业务应急响应管理，包括应急准备、监测与预警、应急处置和总结改进四个阶段的应急管理活动。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6129"/>
      <w:bookmarkStart w:id="9" w:name="heading_3"/>
      <w:r>
        <w:t>原则</w:t>
      </w:r>
      <w:bookmarkEnd w:id="8"/>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预防为主原则：提高安全意识，实施风险评估，完善安全措施，加强监测与预警。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统一管理原则：建立应急响应管理组织，突发事件统一管理，统一指挥。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分级处理原则：划分突发事件级别，按事件级别响应处理，建立事件升级机制。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协商一致原则：识别利益相关方，统筹协调应急响应工作。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有效快速原则：有效制定预案，及时发现，尽快恢复服务。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及时通报原则：建立通报流程，及时汇报突发事件情况。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先主后次原则：应急处理应首先保障主要信息系统的持续稳定运行。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4"/>
      <w:bookmarkStart w:id="11" w:name="_Toc4060"/>
      <w:r>
        <w:t>术语</w:t>
      </w:r>
      <w:bookmarkEnd w:id="10"/>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应急事件：导致或即将导致运行维护服务对象运行中断、运行质量降低，以及需要实施重点时段保障的事件。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重点时段保障：提升服务级别以确保某一时间段内重要活动或重点业务的开展所采取的措施和活动。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应急响应：组织为预防、监控、处置和管理应急事件所采取的措施和活动。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利益相关方：在组织的决策或活动中有重要利益的个人或团体，包括服务需方、服务供方、分包方、供应商等。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8790"/>
      <w:bookmarkStart w:id="13" w:name="heading_5"/>
      <w:r>
        <w:t>角色与职责</w:t>
      </w:r>
      <w:bookmarkEnd w:id="12"/>
      <w:bookmarkEnd w:id="13"/>
    </w:p>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2215"/>
        <w:gridCol w:w="3305"/>
        <w:gridCol w:w="27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角色</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主要职责</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职能岗位</w:t>
            </w:r>
          </w:p>
        </w:tc>
      </w:tr>
      <w:tr>
        <w:tblPrEx>
          <w:tblW w:w="0" w:type="auto"/>
          <w:tblInd w:w="0" w:type="dxa"/>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应急响应管理组织</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应急响应的最高管理组织，负责统筹、协调和决策应急响应工作。</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总经理</w:t>
            </w:r>
          </w:p>
        </w:tc>
      </w:tr>
      <w:tr>
        <w:tblPrEx>
          <w:tblW w:w="0" w:type="auto"/>
          <w:tblInd w:w="0" w:type="dxa"/>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应急响应责任人</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统筹协调应急响应工作，可由服务需方的信息化部门最高管理者担任。</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需方部门经理</w:t>
            </w:r>
          </w:p>
        </w:tc>
      </w:tr>
      <w:tr>
        <w:tblPrEx>
          <w:tblW w:w="0" w:type="auto"/>
          <w:tblInd w:w="0" w:type="dxa"/>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现场负责人</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由应急响应责任人授权，负责应急事件监测与预警、应急处置等现场工作。</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w:t>
            </w:r>
          </w:p>
        </w:tc>
      </w:tr>
      <w:tr>
        <w:tblPrEx>
          <w:tblW w:w="0" w:type="auto"/>
          <w:tblInd w:w="0" w:type="dxa"/>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分组负责人</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可在组织内成立多个分项小组并设定负责人，承担应急响应中各专业性工作。</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eastAsia"/>
                <w:lang w:eastAsia="zh-CN"/>
              </w:rPr>
            </w:pPr>
            <w:r>
              <w:rPr>
                <w:rFonts w:hint="eastAsia"/>
                <w:lang w:val="en-US" w:eastAsia="zh-CN"/>
              </w:rPr>
              <w:t>项目经理</w:t>
            </w:r>
          </w:p>
        </w:tc>
      </w:tr>
      <w:tr>
        <w:tblPrEx>
          <w:tblW w:w="0" w:type="auto"/>
          <w:tblInd w:w="0" w:type="dxa"/>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值班人员</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组织内承担现场值守工作的人员。</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r>
              <w:t>运维工程师</w:t>
            </w:r>
          </w:p>
        </w:tc>
      </w:tr>
      <w:tr>
        <w:tblPrEx>
          <w:tblW w:w="0" w:type="auto"/>
          <w:tblInd w:w="0" w:type="dxa"/>
          <w:tblLayout w:type="fixed"/>
          <w:tblCellMar>
            <w:top w:w="0" w:type="dxa"/>
            <w:left w:w="10" w:type="dxa"/>
            <w:bottom w:w="0" w:type="dxa"/>
            <w:right w:w="10" w:type="dxa"/>
          </w:tblCellMar>
        </w:tblPrEx>
        <w:tc>
          <w:tcPr>
            <w:tcW w:w="221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应急响应处理人员</w:t>
            </w:r>
          </w:p>
        </w:tc>
        <w:tc>
          <w:tcPr>
            <w:tcW w:w="330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负责应急事件的分析、处理与恢复。</w:t>
            </w:r>
          </w:p>
        </w:tc>
        <w:tc>
          <w:tcPr>
            <w:tcW w:w="276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r>
              <w:t>运维部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bookmarkStart w:id="15" w:name="_Toc334"/>
      <w:r>
        <w:t>应急响应过程</w:t>
      </w:r>
      <w:bookmarkEnd w:id="14"/>
      <w:bookmarkEnd w:id="1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3940"/>
      <w:bookmarkStart w:id="17" w:name="heading_7"/>
      <w:r>
        <w:t>应急准备</w:t>
      </w:r>
      <w:bookmarkEnd w:id="16"/>
      <w:bookmarkEnd w:id="1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8"/>
      <w:bookmarkStart w:id="19" w:name="_Toc22933"/>
      <w:r>
        <w:t>建立</w:t>
      </w:r>
      <w:bookmarkEnd w:id="18"/>
      <w:r>
        <w:rPr>
          <w:rFonts w:hint="eastAsia"/>
          <w:lang w:eastAsia="zh-CN"/>
        </w:rPr>
        <w:t>应急管理部</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首先应识别利益相关方，包括服务需方、服务供方、分包方、供应商等。应在运行维护服务组织基础上建立</w:t>
      </w:r>
      <w:r>
        <w:rPr>
          <w:rFonts w:hint="eastAsia"/>
          <w:lang w:eastAsia="zh-CN"/>
        </w:rPr>
        <w:t>应急管理部</w:t>
      </w:r>
      <w:r>
        <w:t>，要求如下：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的人员应属于运行维护服务组织的人员，也可包括其他机构的专家和人员；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应规定运行维护服务及应急响应所有相关利益方的角色及职责，并为关键角色提供备份人选；应明确应急响应责任人、现场负责人、分组负责人、值班人员；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应就应急响应服务的范围、要求等与相关利益方达成一致，确定沟通流程和方式，并形成记录；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运行维护过程中涉及组织和人员的变更应与相关利益方达成一致，并形成记录；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应建立对</w:t>
      </w:r>
      <w:r>
        <w:rPr>
          <w:rFonts w:hint="eastAsia"/>
          <w:lang w:eastAsia="zh-CN"/>
        </w:rPr>
        <w:t>应急管理部</w:t>
      </w:r>
      <w:r>
        <w:t>内人员的考核机制，明确考核指标及方法。考核至少每年进行一次，以确保组织能持续满足应急响应要求。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32085"/>
      <w:r>
        <w:t>风险评估与改进</w:t>
      </w:r>
      <w:bookmarkEnd w:id="20"/>
      <w:bookmarkEnd w:id="21"/>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bookmarkStart w:id="22" w:name="heading_10"/>
      <w:r>
        <w:t>风险评估</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应按照确定的方法和流程对重要信息系统实施风险评估，确保组织了解其在运行维护过程中的关键活动、所需资源、限制条件及信息系统面临的各种风险要素。应了解当风险演变为应急事件时所产生的影响和后果，以及信息系统服务中断所带来的损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应授权公司内或公司外的服务供方进行风险识别，并将授权通知到所有相关利益方。被授权的服务供方应结合具体的信息系统现状和要求，从技术和管理等方面确定风险要素。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应对风险要素进行评估，形成风险评估报告，报告内容应包括：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结论摘要；</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背景及现状；</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风险要素；</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识别出的风险及风险分析；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建议的应对措施。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应在需方授权范围内对风险评估报告进行评审和沟通，并达成一致。</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bookmarkStart w:id="23" w:name="heading_11"/>
      <w:r>
        <w:t>改进</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对于识别出的各种风险，</w:t>
      </w:r>
      <w:r>
        <w:rPr>
          <w:rFonts w:hint="eastAsia"/>
          <w:lang w:eastAsia="zh-CN"/>
        </w:rPr>
        <w:t>应急管理部</w:t>
      </w:r>
      <w:r>
        <w:t>应该制定明确的控制策略，必要时应对信息系统进行升级改造。可供选择的风险控制策略包括：风险规避、风险转移、风险降低、风险接受。根据风险评估报告，组织应该形成改进方案并实施。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2"/>
      <w:bookmarkStart w:id="25" w:name="_Toc11275"/>
      <w:r>
        <w:t>划分应急事件级别</w:t>
      </w:r>
      <w:bookmarkEnd w:id="24"/>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事件分级的主要参考要素为：信息系统的重要程度、信息系统服务时段、信息系统受损程度。对可能发生的应急事件进行级别划分（级别划分方法参见《附件A：应急事件级别划分指南》）。应结合自身的业务要求，对应急事件级别对应的响应时间、处置完成时间等达成一致，并根据应急事件级别配置响应的保障措施，如人员、资金和设备等。</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12090"/>
      <w:r>
        <w:t>应急响应预案制定</w:t>
      </w:r>
      <w:bookmarkEnd w:id="26"/>
      <w:bookmarkEnd w:id="27"/>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bookmarkStart w:id="28" w:name="heading_14"/>
      <w:r>
        <w:t>预案制定</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应急管理部</w:t>
      </w:r>
      <w:r>
        <w:t>应根据应急事件级别制定应急响应预案。应急响应预案可以分为总体预案和针对某个核心系统的专项预案。应急响应预案的格式应该能够为</w:t>
      </w:r>
      <w:r>
        <w:rPr>
          <w:rFonts w:hint="eastAsia"/>
          <w:lang w:eastAsia="zh-CN"/>
        </w:rPr>
        <w:t>应急管理部</w:t>
      </w:r>
      <w:r>
        <w:t>进行系统恢复操作提供快速明确的指导。应急响应预案应该明确、简洁，易于在紧急情况下执行，并使用检查列表。应急响应预案的内容应包括：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应急响应预案的编制目的、依据和适用范围；</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具体的组织体系结构及人员职责；</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应急响应的监测和预警机制；</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应急响应预案的启动；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应急事件级别及对应的处置流程、方法；</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应急响应的保障措施；</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应急预案的附则。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由应急响应责任人负责组织服务需方对应急响应预案进行评审、与相关利益方达成一致，并负责预案的发布。</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bookmarkStart w:id="29" w:name="heading_15"/>
      <w:r>
        <w:t>培训与演练</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应制定应急响应培训计划，并组织相关人员参与。应急响应预案应作为培训的主要内容。培训应使得</w:t>
      </w:r>
      <w:r>
        <w:rPr>
          <w:rFonts w:hint="eastAsia"/>
          <w:lang w:eastAsia="zh-CN"/>
        </w:rPr>
        <w:t>应急管理部</w:t>
      </w:r>
      <w:r>
        <w:t>及人员明确其在应急响应过程中的责任范围、接口关系，明确应急处置的操作规范和操作流程。培训应至少每年举办一次。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检验应急响应预案的有效性，同时使相关人员了解运行维护预案的目标和内容，熟悉应急响应的操作规程，应进行应急演练，必要时，组织可根据演练的效果，对应急响应预案进行完善。演练应至少每年组织一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8239"/>
      <w:bookmarkStart w:id="31" w:name="heading_16"/>
      <w:r>
        <w:t>监测与预警</w:t>
      </w:r>
      <w:bookmarkEnd w:id="30"/>
      <w:bookmarkEnd w:id="31"/>
    </w:p>
    <w:p>
      <w:pPr>
        <w:pStyle w:val="3"/>
        <w:bidi w:val="0"/>
      </w:pPr>
      <w:bookmarkStart w:id="32" w:name="heading_17"/>
      <w:bookmarkStart w:id="33" w:name="_Toc9338"/>
      <w:r>
        <w:t>日常监测与预警</w:t>
      </w:r>
      <w:bookmarkEnd w:id="32"/>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交付团队应持续开展日常监测活动，实施有效预警，范围如下：</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应该结合服务范围对运行维护服务对象的运行情况进行监测与预警，以跟踪和判别以下对象的容量、可用性和连续性：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应用系统；</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支撑应用系统运行的系统软件、工具软件；</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网络及网络设备；</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安全设备；</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主机、存储、外设、终端等设备；</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电力、空调、消防等基础环境。</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组织应对信息系统所承载的业务数据进行监测，以跟踪和判别业务数据是否超出了预警条件。</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交付团队应建立监测、预警的记录和报告制度，并按照约定的形式和时间间隔上报现场负责人。发现应急事件时，值班人员应提交报告，报告内容应包括：</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pPr>
      <w:r>
        <w:t>应急事件发生及发现的时间、位置；</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pPr>
      <w:r>
        <w:t>现象描述；</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pPr>
      <w:r>
        <w:t>影响的范围；</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pPr>
      <w:r>
        <w:t>初步原因分析；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pPr>
      <w:r>
        <w:t>报告人。</w:t>
      </w:r>
    </w:p>
    <w:p>
      <w:pPr>
        <w:pStyle w:val="3"/>
        <w:bidi w:val="0"/>
      </w:pPr>
      <w:bookmarkStart w:id="34" w:name="heading_18"/>
      <w:bookmarkStart w:id="35" w:name="_Toc32265"/>
      <w:r>
        <w:t>核实与评估</w:t>
      </w:r>
      <w:bookmarkEnd w:id="34"/>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现场负责人应对报告内容进行逐项核实。核实确认后的应急事件报告，应提交给应急响应责任者。应急事件报告应作为事件级别评估的输入。重点时段保障需求也应作为事件级别评估的输入。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现场负责人应根据事件级别定义，初步确定应急事件所对应的事件级别。应将事件级别置于动态调整控制中。</w:t>
      </w:r>
    </w:p>
    <w:p>
      <w:pPr>
        <w:pStyle w:val="3"/>
        <w:bidi w:val="0"/>
      </w:pPr>
      <w:bookmarkStart w:id="36" w:name="heading_19"/>
      <w:bookmarkStart w:id="37" w:name="_Toc14904"/>
      <w:r>
        <w:t>应急响应预案启动</w:t>
      </w:r>
      <w:bookmarkEnd w:id="36"/>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组织应建立、审议应急响应预案启动的策略和程序，以控制预案启动的授权和实施。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组织应就应急响应预案启动可能造成的影响进行评估。相关利益方之间应就启动何种类型预案达成一致，包括当应急事件升级时，与之相对应的预案调整的方式。可根据先期处置要求进行应急响应预案的自动启动，或由应急响应责任者或现场负责人启动预案。应记录应急响应预案启动的过程和结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现场负责人应向相关利益方通报应急响应预案启动信息，内容应包括：</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预案启动的原因；</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事件级别；</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事件对应的预案；</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要求采取的技术应对措施或处置的目标；</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实现目标所应采取的保障措施，如人员、资金和设备等；</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对应急处置过程及结果的报告要求，如报告程序、报告内容、报告频率等；</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pPr>
      <w:r>
        <w:t>信息通报的范围和接收者。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信息通报应选取适当的方式，如电话、邮件、传真、书面文件等。所有相关利益方应对收到的通报信息进行确认和反馈。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通报信息应作为监测与预警状态调整的输入，调整内容包括监测范围、监测频率等。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监测与预警状态的调整应通知各相关利益方。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20"/>
      <w:bookmarkStart w:id="39" w:name="_Toc30342"/>
      <w:r>
        <w:t>应急处置</w:t>
      </w:r>
      <w:bookmarkEnd w:id="38"/>
      <w:bookmarkEnd w:id="39"/>
    </w:p>
    <w:p>
      <w:pPr>
        <w:pStyle w:val="3"/>
        <w:bidi w:val="0"/>
      </w:pPr>
      <w:bookmarkStart w:id="40" w:name="_Toc19642"/>
      <w:bookmarkStart w:id="41" w:name="heading_21"/>
      <w:r>
        <w:t>应急调度</w:t>
      </w:r>
      <w:bookmarkEnd w:id="40"/>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按照预案，开展统一的应急调度，包括人员、资金和设备等。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应急调度中应：</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获取现场信息；</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组织必要人员进行勘察、分析；</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下达调度命令并保持跟踪；</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t>保护可追查的相关线索。</w:t>
      </w:r>
    </w:p>
    <w:p>
      <w:pPr>
        <w:pStyle w:val="3"/>
        <w:bidi w:val="0"/>
      </w:pPr>
      <w:bookmarkStart w:id="42" w:name="heading_22"/>
      <w:bookmarkStart w:id="43" w:name="_Toc20408"/>
      <w:r>
        <w:t>排查与诊断</w:t>
      </w:r>
      <w:bookmarkEnd w:id="42"/>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故障排查与诊断的流程应包含以下内容：</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现场负责人调度处置人员进行现场故障排查；</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现场处置人员进行故障排查和诊断，必要时可寻求组织其他人员以现场或远程方式进行支持，在此过程中可借助各类排查诊断分析工具，如应用软件、电子分析工具、故障排查</w:t>
      </w:r>
      <w:r>
        <w:rPr>
          <w:rFonts w:hint="eastAsia"/>
          <w:lang w:eastAsia="zh-CN"/>
        </w:rPr>
        <w:t>服务知识</w:t>
      </w:r>
      <w:r>
        <w:t>等；</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现场处置人员应随时向现场负责人汇报故障排查情况、诊断信息、故障定位结果等；</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将排查与诊断的过程与结果信息进行整理与归档。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处置过程中，现场负责人应及时与相关利益方进行沟通，沟通的内容主要包括系统故障点、造成故障的原因、排查诊断状况等。现场负责人应组织相关利益方对问题进行确认。问题确认过程不应延误处理与恢复工作的开展。</w:t>
      </w:r>
    </w:p>
    <w:p>
      <w:pPr>
        <w:pStyle w:val="3"/>
        <w:bidi w:val="0"/>
      </w:pPr>
      <w:bookmarkStart w:id="44" w:name="_Toc290"/>
      <w:bookmarkStart w:id="45" w:name="heading_23"/>
      <w:r>
        <w:t>处理与恢复</w:t>
      </w:r>
      <w:bookmarkEnd w:id="44"/>
      <w:bookmarkEnd w:id="4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应基于应急响应预案、配置管理数据库、</w:t>
      </w:r>
      <w:r>
        <w:rPr>
          <w:rFonts w:hint="eastAsia"/>
          <w:lang w:eastAsia="zh-CN"/>
        </w:rPr>
        <w:t>服务知识</w:t>
      </w:r>
      <w:r>
        <w:t>等进行故障处理和系统恢复，处理与恢复的原则包括：</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应在满足事件级别处置时间要求的前提下，尽快恢复服务；</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采用的方法、手段不应造成次生、衍生事件的发生。</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必要时可启用备品备件、灾备系统等。应该对过程及结果信息进行记录，并及时告知相关利益方。现场负责人应组织对处理与恢复的结果进行初步确认。</w:t>
      </w:r>
    </w:p>
    <w:p>
      <w:pPr>
        <w:pStyle w:val="3"/>
        <w:bidi w:val="0"/>
      </w:pPr>
      <w:bookmarkStart w:id="46" w:name="heading_24"/>
      <w:bookmarkStart w:id="47" w:name="_Toc7205"/>
      <w:r>
        <w:t>事件升级</w:t>
      </w:r>
      <w:bookmarkEnd w:id="46"/>
      <w:bookmarkEnd w:id="47"/>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bookmarkStart w:id="48" w:name="heading_25"/>
      <w:r>
        <w:t>升级</w:t>
      </w:r>
      <w:bookmarkEnd w:id="4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应建立、审议应急事件升级的策略和程序，以控制应急事件升级的授权和实施。当实际处置时间超过事件级别处置时间要求时，应作为事件升级的参考要素。公司应该对事件升级可能造成的影响进行评估，并在相关利益方之间达成一致。升级内容应包含预案调整、人员调整、资金调整以及设备调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事件升级的实施授权应由现场负责人启动。应该对事件升级的过程和结果信息进行整理与归档。</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bookmarkStart w:id="49" w:name="heading_26"/>
      <w:r>
        <w:t>信息通报</w:t>
      </w:r>
      <w:bookmarkEnd w:id="4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现场负责人应向相关利益方通报事件升级信息，内容应包括：</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hanging="425" w:leftChars="0" w:firstLineChars="0"/>
        <w:textAlignment w:val="baseline"/>
      </w:pPr>
      <w:r>
        <w:t>事件升级的原因；</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hanging="425" w:leftChars="0" w:firstLineChars="0"/>
        <w:textAlignment w:val="baseline"/>
      </w:pPr>
      <w:r>
        <w:t>事件升级后的级别；</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hanging="425" w:leftChars="0" w:firstLineChars="0"/>
        <w:textAlignment w:val="baseline"/>
      </w:pPr>
      <w:r>
        <w:t>事件升级后与之对应的预案；</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hanging="425" w:leftChars="0" w:firstLineChars="0"/>
        <w:textAlignment w:val="baseline"/>
      </w:pPr>
      <w:r>
        <w:t>对升级事件处置过程及结果的报告要求，如：报告程序、报告对象、报告内容、报告频率等；</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hanging="425" w:leftChars="0" w:firstLineChars="0"/>
        <w:textAlignment w:val="baseline"/>
      </w:pPr>
      <w:r>
        <w:t>信息通报的范围和涉及的接受者。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信息通报应选择适当的方式，如电话、邮件、传真、书面文件等。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事件升级信息应作为处理与恢复的参考要素。</w:t>
      </w:r>
    </w:p>
    <w:p>
      <w:pPr>
        <w:pStyle w:val="3"/>
        <w:bidi w:val="0"/>
      </w:pPr>
      <w:bookmarkStart w:id="50" w:name="_Toc25096"/>
      <w:bookmarkStart w:id="51" w:name="heading_27"/>
      <w:r>
        <w:t>持续服务</w:t>
      </w:r>
      <w:bookmarkEnd w:id="50"/>
      <w:bookmarkEnd w:id="5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完成处理与恢复后，应组织运行维护人员提供持续性服务。组织应对持续性服务的效果进行评价。持续服务的评价结果，应作为应急事件关闭的输入。</w:t>
      </w:r>
    </w:p>
    <w:p>
      <w:pPr>
        <w:pStyle w:val="3"/>
        <w:bidi w:val="0"/>
      </w:pPr>
      <w:bookmarkStart w:id="52" w:name="heading_28"/>
      <w:bookmarkStart w:id="53" w:name="_Toc7564"/>
      <w:r>
        <w:t>事件关闭</w:t>
      </w:r>
      <w:bookmarkEnd w:id="52"/>
      <w:bookmarkEnd w:id="53"/>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bookmarkStart w:id="54" w:name="heading_29"/>
      <w:r>
        <w:t>申请</w:t>
      </w:r>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组织应建立、审议事件关闭的策略和程序，以控制事件关闭的授权和实施。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应该对应急事件处置的过程文档进行整理。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事件关闭申请应由相关的分组负责人提出，并提交相关文档资料。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事件关闭申请和文档资料，应作为事件关闭核实的参考要素。</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bookmarkStart w:id="55" w:name="heading_30"/>
      <w:r>
        <w:t>核实</w:t>
      </w:r>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现场负责人接到事件关闭申请后，应逐项核实报告内容，以判别应急事件处置过程和结果信息是否属实。</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bookmarkStart w:id="56" w:name="heading_31"/>
      <w:r>
        <w:t>调查和取证</w:t>
      </w:r>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当应急事件涉及到责任认定、赔偿或诉讼时，应收集、保留和呈递证据。证据可能用于：</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hanging="425" w:leftChars="0" w:firstLineChars="0"/>
        <w:textAlignment w:val="baseline"/>
      </w:pPr>
      <w:r>
        <w:t>内部问题分析；</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hanging="425" w:leftChars="0" w:firstLineChars="0"/>
        <w:textAlignment w:val="baseline"/>
      </w:pPr>
      <w:r>
        <w:t>用作合同违约或其他纠纷的法律取证；</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hanging="425" w:leftChars="0" w:firstLineChars="0"/>
        <w:textAlignment w:val="baseline"/>
      </w:pPr>
      <w:r>
        <w:t>与相关方谈判赔偿事宜。</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pPr>
      <w:bookmarkStart w:id="57" w:name="heading_32"/>
      <w:r>
        <w:t>关闭通报</w:t>
      </w:r>
      <w:bookmarkEnd w:id="5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组织应建立、审议应急事件关闭通报制度。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现场负责人应向相关利益方通报事件关闭信息，内容应包括：</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事件发生的原因、事件级别及影响范围；</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事件对应的预案；</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事件的处置过程和方法；</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事件的调整升级情况；</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持续性服务情况；</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事件处置评价；</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事件关闭申请的处理意见；</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关闭通报的范围和涉及接受者。</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hanging="425" w:leftChars="0" w:firstLineChars="0"/>
        <w:textAlignment w:val="baseline"/>
      </w:pPr>
      <w:r>
        <w:t>应急事件发生的原因、处置过程和方法应记入</w:t>
      </w:r>
      <w:r>
        <w:rPr>
          <w:rFonts w:hint="eastAsia"/>
          <w:lang w:eastAsia="zh-CN"/>
        </w:rPr>
        <w:t>服务知识</w:t>
      </w:r>
      <w:r>
        <w:t>。</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heading_33"/>
      <w:bookmarkStart w:id="59" w:name="_Toc3497"/>
      <w:r>
        <w:t>总结改进</w:t>
      </w:r>
      <w:bookmarkEnd w:id="58"/>
      <w:bookmarkEnd w:id="59"/>
    </w:p>
    <w:p>
      <w:pPr>
        <w:pStyle w:val="3"/>
        <w:bidi w:val="0"/>
      </w:pPr>
      <w:bookmarkStart w:id="60" w:name="_Toc14020"/>
      <w:bookmarkStart w:id="61" w:name="heading_34"/>
      <w:r>
        <w:t>应急工作总结</w:t>
      </w:r>
      <w:bookmarkEnd w:id="60"/>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公司应定期对应急响应工作进行分析和回顾，总结经验教训，并采取适当的后续措施。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对应急响应工作的分析和回顾应考虑以下方面：</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pPr>
      <w:r>
        <w:t>应急响应工作的绩效；</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pPr>
      <w:r>
        <w:t>应急准备工作的充分性和有针对性；</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pPr>
      <w:r>
        <w:t>应急事件发生原因、数量及频率；</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pPr>
      <w:r>
        <w:t>应急事件处置的经验得失；</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pPr>
      <w:r>
        <w:t>应急事件的趋势信息；</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pPr>
      <w:r>
        <w:t>信息系统中潜在的类似隐患。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对应急响应工作的分析和回顾应形成总结报告，并将总结报告作为改进应急响应工作及信息系统的重要依据。</w:t>
      </w:r>
    </w:p>
    <w:p>
      <w:pPr>
        <w:pStyle w:val="3"/>
        <w:bidi w:val="0"/>
      </w:pPr>
      <w:bookmarkStart w:id="62" w:name="heading_35"/>
      <w:bookmarkStart w:id="63" w:name="_Toc27339"/>
      <w:r>
        <w:t>应急工作审核</w:t>
      </w:r>
      <w:bookmarkEnd w:id="62"/>
      <w:bookmarkEnd w:id="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保证应急响应的有效性和时效性，应急响应责任者应定期组织对应急响应工作的评审，以确保应急响应过程和管理符合预定的标准和要求。审核的结果应该正式存档并通知给相关利益方。评审应至少每年举行一次。</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pPr>
      <w:bookmarkStart w:id="64" w:name="heading_36"/>
      <w:r>
        <w:t>审核时应考虑的要素包括：</w:t>
      </w:r>
      <w:bookmarkEnd w:id="64"/>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相关利益方的要求和反馈；</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组织所采纳的用于支持应急响应的各种资源和流程；</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风险评估的结果及可接受的风险水平；</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应急预案的测试结果及实际执行效果；</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上次评审的后续活动跟踪；</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可能影响应急响应的各种业务变更；</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近期在处置应急事件过程中总结的经验和教训；</w:t>
      </w:r>
    </w:p>
    <w:p>
      <w:pPr>
        <w:pStyle w:val="a1"/>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hanging="425" w:leftChars="0" w:firstLineChars="0"/>
        <w:textAlignment w:val="baseline"/>
      </w:pPr>
      <w:r>
        <w:t>培训的结果和反馈。</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pPr>
      <w:bookmarkStart w:id="65" w:name="heading_37"/>
      <w:r>
        <w:t>审核的输出结果应该包括：</w:t>
      </w:r>
      <w:bookmarkEnd w:id="6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改进目标；</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hanging="425" w:leftChars="0" w:firstLineChars="0"/>
        <w:textAlignment w:val="baseline"/>
      </w:pPr>
      <w:r>
        <w:t>改进的具体工作内容；</w:t>
      </w:r>
    </w:p>
    <w:p>
      <w:pPr>
        <w:pStyle w:val="a1"/>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hanging="425" w:leftChars="0" w:firstLineChars="0"/>
        <w:textAlignment w:val="baseline"/>
      </w:pPr>
      <w:r>
        <w:t>所需的各种资源，包括人员、资金和设备等。</w:t>
      </w:r>
    </w:p>
    <w:p>
      <w:pPr>
        <w:pStyle w:val="3"/>
        <w:bidi w:val="0"/>
      </w:pPr>
      <w:bookmarkStart w:id="66" w:name="_Toc11683"/>
      <w:bookmarkStart w:id="67" w:name="heading_38"/>
      <w:r>
        <w:t>应急工作改进</w:t>
      </w:r>
      <w:bookmarkEnd w:id="66"/>
      <w:bookmarkEnd w:id="6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应急事件总结、应急工作审核的结果应该作为应急准备阶段各项工作的改进要素。组织应根据总结报告中给出的建议项和评审结果，完善信息系统，深化应急准备工作。</w:t>
      </w:r>
    </w:p>
    <w:p>
      <w:pPr>
        <w:pStyle w:val="1"/>
        <w:bidi w:val="0"/>
        <w:rPr>
          <w:rFonts w:hint="default"/>
          <w:lang w:val="en-US" w:eastAsia="zh-CN"/>
        </w:rPr>
      </w:pPr>
      <w:bookmarkStart w:id="68" w:name="_Toc16773"/>
      <w:r>
        <w:rPr>
          <w:rFonts w:hint="eastAsia"/>
          <w:lang w:val="en-US" w:eastAsia="zh-CN"/>
        </w:rPr>
        <w:t>KPI指标</w:t>
      </w:r>
      <w:bookmarkEnd w:id="68"/>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35"/>
        <w:gridCol w:w="4704"/>
        <w:gridCol w:w="996"/>
        <w:gridCol w:w="108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35" w:type="dxa"/>
            <w:shd w:val="clear" w:color="auto" w:fill="C0C0C0"/>
          </w:tcPr>
          <w:p>
            <w:pPr>
              <w:pStyle w:val="TableText"/>
              <w:widowControl w:val="0"/>
              <w:spacing w:before="196" w:line="217" w:lineRule="auto"/>
              <w:ind w:left="491" w:leftChars="0"/>
              <w:rPr>
                <w:rFonts w:ascii="宋体" w:eastAsia="宋体" w:hAnsi="宋体" w:cs="宋体" w:hint="default"/>
                <w:snapToGrid w:val="0"/>
                <w:color w:val="000000"/>
                <w:kern w:val="0"/>
                <w:sz w:val="24"/>
                <w:szCs w:val="24"/>
                <w:lang w:val="en-US" w:eastAsia="zh-CN" w:bidi="ar-SA"/>
              </w:rPr>
            </w:pPr>
            <w:r>
              <w:rPr>
                <w:b/>
                <w:bCs/>
                <w:spacing w:val="-6"/>
                <w:sz w:val="24"/>
                <w:szCs w:val="24"/>
              </w:rPr>
              <w:t>指标名称</w:t>
            </w:r>
          </w:p>
        </w:tc>
        <w:tc>
          <w:tcPr>
            <w:tcW w:w="4704" w:type="dxa"/>
            <w:shd w:val="clear" w:color="auto" w:fill="C0C0C0"/>
          </w:tcPr>
          <w:p>
            <w:pPr>
              <w:pStyle w:val="TableText"/>
              <w:widowControl w:val="0"/>
              <w:spacing w:before="197" w:line="217" w:lineRule="auto"/>
              <w:rPr>
                <w:rFonts w:ascii="宋体" w:eastAsia="宋体" w:hAnsi="宋体" w:cs="宋体" w:hint="default"/>
                <w:snapToGrid w:val="0"/>
                <w:color w:val="000000"/>
                <w:kern w:val="0"/>
                <w:sz w:val="24"/>
                <w:szCs w:val="24"/>
                <w:lang w:val="en-US" w:eastAsia="zh-CN" w:bidi="ar-SA"/>
              </w:rPr>
            </w:pPr>
            <w:r>
              <w:rPr>
                <w:b/>
                <w:bCs/>
                <w:spacing w:val="-6"/>
                <w:sz w:val="24"/>
                <w:szCs w:val="24"/>
              </w:rPr>
              <w:t>计算公式</w:t>
            </w:r>
          </w:p>
        </w:tc>
        <w:tc>
          <w:tcPr>
            <w:tcW w:w="996" w:type="dxa"/>
            <w:shd w:val="clear" w:color="auto" w:fill="C0C0C0"/>
          </w:tcPr>
          <w:p>
            <w:pPr>
              <w:pStyle w:val="TableText"/>
              <w:widowControl w:val="0"/>
              <w:spacing w:before="40" w:line="218" w:lineRule="auto"/>
              <w:ind w:left="212"/>
              <w:rPr>
                <w:sz w:val="24"/>
                <w:szCs w:val="24"/>
              </w:rPr>
            </w:pPr>
            <w:r>
              <w:rPr>
                <w:b/>
                <w:bCs/>
                <w:spacing w:val="-7"/>
                <w:sz w:val="24"/>
                <w:szCs w:val="24"/>
              </w:rPr>
              <w:t>考核</w:t>
            </w:r>
          </w:p>
          <w:p>
            <w:pPr>
              <w:pStyle w:val="TableText"/>
              <w:widowControl w:val="0"/>
              <w:spacing w:before="28" w:line="208" w:lineRule="auto"/>
              <w:ind w:left="216" w:leftChars="0"/>
              <w:rPr>
                <w:rFonts w:ascii="宋体" w:eastAsia="宋体" w:hAnsi="宋体" w:cs="宋体" w:hint="default"/>
                <w:snapToGrid w:val="0"/>
                <w:color w:val="000000"/>
                <w:kern w:val="0"/>
                <w:sz w:val="24"/>
                <w:szCs w:val="24"/>
                <w:lang w:val="en-US" w:eastAsia="zh-CN" w:bidi="ar-SA"/>
              </w:rPr>
            </w:pPr>
            <w:r>
              <w:rPr>
                <w:b/>
                <w:bCs/>
                <w:spacing w:val="-8"/>
                <w:sz w:val="24"/>
                <w:szCs w:val="24"/>
              </w:rPr>
              <w:t>要求</w:t>
            </w:r>
          </w:p>
        </w:tc>
        <w:tc>
          <w:tcPr>
            <w:tcW w:w="1087" w:type="dxa"/>
            <w:shd w:val="clear" w:color="auto" w:fill="C0C0C0"/>
          </w:tcPr>
          <w:p>
            <w:pPr>
              <w:pStyle w:val="TableText"/>
              <w:widowControl w:val="0"/>
              <w:spacing w:before="40" w:line="218" w:lineRule="auto"/>
              <w:ind w:left="155"/>
              <w:rPr>
                <w:sz w:val="24"/>
                <w:szCs w:val="24"/>
              </w:rPr>
            </w:pPr>
            <w:r>
              <w:rPr>
                <w:b/>
                <w:bCs/>
                <w:spacing w:val="-7"/>
                <w:sz w:val="24"/>
                <w:szCs w:val="24"/>
              </w:rPr>
              <w:t>考核</w:t>
            </w:r>
          </w:p>
          <w:p>
            <w:pPr>
              <w:pStyle w:val="TableText"/>
              <w:widowControl w:val="0"/>
              <w:spacing w:before="28" w:line="208" w:lineRule="auto"/>
              <w:ind w:left="156" w:leftChars="0"/>
              <w:rPr>
                <w:rFonts w:ascii="宋体" w:eastAsia="宋体" w:hAnsi="宋体" w:cs="宋体" w:hint="default"/>
                <w:snapToGrid w:val="0"/>
                <w:color w:val="000000"/>
                <w:kern w:val="0"/>
                <w:sz w:val="24"/>
                <w:szCs w:val="24"/>
                <w:lang w:val="en-US" w:eastAsia="zh-CN" w:bidi="ar-SA"/>
              </w:rPr>
            </w:pPr>
            <w:r>
              <w:rPr>
                <w:b/>
                <w:bCs/>
                <w:spacing w:val="-7"/>
                <w:sz w:val="24"/>
                <w:szCs w:val="24"/>
              </w:rPr>
              <w:t>周期</w:t>
            </w:r>
          </w:p>
        </w:tc>
      </w:tr>
      <w:tr>
        <w:tblPrEx>
          <w:tblW w:w="0" w:type="auto"/>
          <w:tblInd w:w="0" w:type="dxa"/>
          <w:tblCellMar>
            <w:top w:w="0" w:type="dxa"/>
            <w:left w:w="108" w:type="dxa"/>
            <w:bottom w:w="0" w:type="dxa"/>
            <w:right w:w="108" w:type="dxa"/>
          </w:tblCellMar>
        </w:tblPrEx>
        <w:tc>
          <w:tcPr>
            <w:tcW w:w="1735" w:type="dxa"/>
            <w:shd w:val="clear" w:color="auto" w:fill="auto"/>
          </w:tcPr>
          <w:p>
            <w:pPr>
              <w:pStyle w:val="a1"/>
              <w:widowControl w:val="0"/>
              <w:bidi w:val="0"/>
              <w:ind w:left="0" w:firstLine="0" w:leftChars="0" w:firstLineChars="0"/>
              <w:rPr>
                <w:rFonts w:ascii="Arial" w:eastAsia="宋体" w:hAnsi="Arial" w:cs="Arial" w:hint="default"/>
                <w:snapToGrid w:val="0"/>
                <w:color w:val="000000"/>
                <w:kern w:val="0"/>
                <w:sz w:val="24"/>
                <w:szCs w:val="21"/>
                <w:lang w:val="en-US" w:eastAsia="zh-CN" w:bidi="ar-SA"/>
              </w:rPr>
            </w:pPr>
            <w:r>
              <w:rPr>
                <w:rFonts w:hint="eastAsia"/>
                <w:lang w:val="en-US" w:eastAsia="zh-CN"/>
              </w:rPr>
              <w:t>应急演练次数</w:t>
            </w:r>
          </w:p>
        </w:tc>
        <w:tc>
          <w:tcPr>
            <w:tcW w:w="4704" w:type="dxa"/>
            <w:shd w:val="clear" w:color="auto" w:fill="auto"/>
          </w:tcPr>
          <w:p>
            <w:pPr>
              <w:pStyle w:val="a1"/>
              <w:widowControl w:val="0"/>
              <w:bidi w:val="0"/>
              <w:ind w:left="0" w:firstLine="0" w:leftChars="0" w:firstLineChars="0"/>
              <w:rPr>
                <w:rFonts w:ascii="Arial" w:eastAsia="宋体" w:hAnsi="Arial" w:cs="Arial" w:hint="default"/>
                <w:snapToGrid w:val="0"/>
                <w:color w:val="000000"/>
                <w:kern w:val="0"/>
                <w:sz w:val="24"/>
                <w:szCs w:val="21"/>
                <w:lang w:val="en-US" w:eastAsia="zh-CN" w:bidi="ar-SA"/>
              </w:rPr>
            </w:pPr>
            <w:r>
              <w:rPr>
                <w:rFonts w:hint="eastAsia"/>
                <w:lang w:val="en-US" w:eastAsia="zh-CN"/>
              </w:rPr>
              <w:t>次数，项目进行应急演练的次数</w:t>
            </w:r>
          </w:p>
        </w:tc>
        <w:tc>
          <w:tcPr>
            <w:tcW w:w="996" w:type="dxa"/>
            <w:shd w:val="clear" w:color="auto" w:fill="auto"/>
          </w:tcPr>
          <w:p>
            <w:pPr>
              <w:pStyle w:val="a1"/>
              <w:widowControl w:val="0"/>
              <w:bidi w:val="0"/>
              <w:ind w:left="0" w:right="0" w:firstLine="0" w:leftChars="0" w:rightChars="0" w:firstLineChars="0"/>
              <w:jc w:val="both"/>
              <w:rPr>
                <w:rFonts w:ascii="Arial" w:eastAsia="宋体" w:hAnsi="Arial" w:cs="Arial" w:hint="default"/>
                <w:snapToGrid w:val="0"/>
                <w:color w:val="000000"/>
                <w:kern w:val="0"/>
                <w:sz w:val="24"/>
                <w:szCs w:val="21"/>
                <w:lang w:val="en-US" w:eastAsia="zh-CN" w:bidi="ar-SA"/>
              </w:rPr>
            </w:pPr>
            <w:r>
              <w:rPr>
                <w:rFonts w:hint="eastAsia"/>
                <w:lang w:val="en-US" w:eastAsia="zh-CN"/>
              </w:rPr>
              <w:t>≥1次</w:t>
            </w:r>
          </w:p>
        </w:tc>
        <w:tc>
          <w:tcPr>
            <w:tcW w:w="1087" w:type="dxa"/>
            <w:shd w:val="clear" w:color="auto" w:fill="auto"/>
          </w:tcPr>
          <w:p>
            <w:pPr>
              <w:pStyle w:val="a1"/>
              <w:widowControl w:val="0"/>
              <w:bidi w:val="0"/>
              <w:ind w:left="0" w:firstLine="0" w:leftChars="0" w:firstLineChars="0"/>
              <w:rPr>
                <w:rFonts w:ascii="Arial" w:eastAsia="宋体" w:hAnsi="Arial" w:cs="Arial" w:hint="default"/>
                <w:snapToGrid w:val="0"/>
                <w:color w:val="000000"/>
                <w:kern w:val="0"/>
                <w:sz w:val="24"/>
                <w:szCs w:val="21"/>
                <w:lang w:val="en-US" w:eastAsia="zh-CN" w:bidi="ar-SA"/>
              </w:rPr>
            </w:pPr>
            <w:r>
              <w:rPr>
                <w:rFonts w:hint="eastAsia"/>
                <w:lang w:val="en-US" w:eastAsia="zh-CN"/>
              </w:rPr>
              <w:t>年度</w:t>
            </w:r>
          </w:p>
        </w:tc>
      </w:tr>
    </w:tbl>
    <w:p>
      <w:r>
        <w:br w:type="page"/>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heading_39"/>
      <w:bookmarkStart w:id="70" w:name="_Toc17679"/>
      <w:r>
        <w:t>输出文件与记录</w:t>
      </w:r>
      <w:bookmarkEnd w:id="69"/>
      <w:bookmarkEnd w:id="7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风险评估报告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应急响应预案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应急响应培训记录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应急响应演练记录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应急工作总结报告</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7C6B8E2"/>
    <w:multiLevelType w:val="singleLevel"/>
    <w:tmpl w:val="B7C6B8E2"/>
    <w:lvl w:ilvl="0">
      <w:start w:val="1"/>
      <w:numFmt w:val="decimal"/>
      <w:lvlText w:val="(%1)"/>
      <w:lvlJc w:val="left"/>
      <w:pPr>
        <w:tabs>
          <w:tab w:val="left" w:pos="420"/>
        </w:tabs>
        <w:ind w:left="845" w:hanging="425"/>
      </w:pPr>
      <w:rPr>
        <w:rFonts w:hint="default"/>
      </w:rPr>
    </w:lvl>
  </w:abstractNum>
  <w:abstractNum w:abstractNumId="2">
    <w:nsid w:val="C494C784"/>
    <w:multiLevelType w:val="singleLevel"/>
    <w:tmpl w:val="C494C784"/>
    <w:lvl w:ilvl="0">
      <w:start w:val="1"/>
      <w:numFmt w:val="decimal"/>
      <w:lvlText w:val="%1."/>
      <w:lvlJc w:val="left"/>
      <w:pPr>
        <w:ind w:left="425" w:hanging="425"/>
      </w:pPr>
      <w:rPr>
        <w:rFonts w:hint="default"/>
      </w:rPr>
    </w:lvl>
  </w:abstractNum>
  <w:abstractNum w:abstractNumId="3">
    <w:nsid w:val="C9C8C41B"/>
    <w:multiLevelType w:val="singleLevel"/>
    <w:tmpl w:val="C9C8C41B"/>
    <w:lvl w:ilvl="0">
      <w:start w:val="1"/>
      <w:numFmt w:val="decimal"/>
      <w:lvlText w:val="(%1)"/>
      <w:lvlJc w:val="left"/>
      <w:pPr>
        <w:tabs>
          <w:tab w:val="left" w:pos="420"/>
        </w:tabs>
        <w:ind w:left="845" w:hanging="425"/>
      </w:pPr>
      <w:rPr>
        <w:rFonts w:hint="default"/>
      </w:rPr>
    </w:lvl>
  </w:abstractNum>
  <w:abstractNum w:abstractNumId="4">
    <w:nsid w:val="E78A2FF1"/>
    <w:multiLevelType w:val="singleLevel"/>
    <w:tmpl w:val="E78A2FF1"/>
    <w:lvl w:ilvl="0">
      <w:start w:val="1"/>
      <w:numFmt w:val="decimal"/>
      <w:lvlText w:val="%1."/>
      <w:lvlJc w:val="left"/>
      <w:pPr>
        <w:ind w:left="425" w:hanging="425"/>
      </w:pPr>
      <w:rPr>
        <w:rFonts w:hint="default"/>
      </w:rPr>
    </w:lvl>
  </w:abstractNum>
  <w:abstractNum w:abstractNumId="5">
    <w:nsid w:val="E89B1889"/>
    <w:multiLevelType w:val="singleLevel"/>
    <w:tmpl w:val="E89B1889"/>
    <w:lvl w:ilvl="0">
      <w:start w:val="1"/>
      <w:numFmt w:val="decimal"/>
      <w:lvlText w:val="%1."/>
      <w:lvlJc w:val="left"/>
      <w:pPr>
        <w:ind w:left="425" w:hanging="425"/>
      </w:pPr>
      <w:rPr>
        <w:rFonts w:hint="default"/>
      </w:rPr>
    </w:lvl>
  </w:abstractNum>
  <w:abstractNum w:abstractNumId="6">
    <w:nsid w:val="F9FD23F5"/>
    <w:multiLevelType w:val="singleLevel"/>
    <w:tmpl w:val="F9FD23F5"/>
    <w:lvl w:ilvl="0">
      <w:start w:val="1"/>
      <w:numFmt w:val="decimal"/>
      <w:lvlText w:val="(%1)"/>
      <w:lvlJc w:val="left"/>
      <w:pPr>
        <w:tabs>
          <w:tab w:val="left" w:pos="420"/>
        </w:tabs>
        <w:ind w:left="845" w:hanging="425"/>
      </w:pPr>
      <w:rPr>
        <w:rFonts w:hint="default"/>
      </w:rPr>
    </w:lvl>
  </w:abstractNum>
  <w:abstractNum w:abstractNumId="7">
    <w:nsid w:val="FC83B8DF"/>
    <w:multiLevelType w:val="singleLevel"/>
    <w:tmpl w:val="FC83B8DF"/>
    <w:lvl w:ilvl="0">
      <w:start w:val="1"/>
      <w:numFmt w:val="decimal"/>
      <w:lvlText w:val="%1."/>
      <w:lvlJc w:val="left"/>
      <w:pPr>
        <w:ind w:left="425" w:hanging="425"/>
      </w:pPr>
      <w:rPr>
        <w:rFonts w:hint="default"/>
      </w:rPr>
    </w:lvl>
  </w:abstractNum>
  <w:abstractNum w:abstractNumId="8">
    <w:nsid w:val="045A6433"/>
    <w:multiLevelType w:val="singleLevel"/>
    <w:tmpl w:val="045A6433"/>
    <w:lvl w:ilvl="0">
      <w:start w:val="1"/>
      <w:numFmt w:val="decimal"/>
      <w:lvlText w:val="(%1)"/>
      <w:lvlJc w:val="left"/>
      <w:pPr>
        <w:tabs>
          <w:tab w:val="left" w:pos="420"/>
        </w:tabs>
        <w:ind w:left="845" w:hanging="425"/>
      </w:pPr>
      <w:rPr>
        <w:rFonts w:hint="default"/>
      </w:rPr>
    </w:lvl>
  </w:abstractNum>
  <w:abstractNum w:abstractNumId="9">
    <w:nsid w:val="0C2F1B47"/>
    <w:multiLevelType w:val="singleLevel"/>
    <w:tmpl w:val="0C2F1B47"/>
    <w:lvl w:ilvl="0">
      <w:start w:val="1"/>
      <w:numFmt w:val="decimal"/>
      <w:lvlText w:val="%1."/>
      <w:lvlJc w:val="left"/>
      <w:pPr>
        <w:ind w:left="425" w:hanging="425"/>
      </w:pPr>
      <w:rPr>
        <w:rFonts w:hint="default"/>
      </w:rPr>
    </w:lvl>
  </w:abstractNum>
  <w:abstractNum w:abstractNumId="10">
    <w:nsid w:val="1B8F9BE8"/>
    <w:multiLevelType w:val="singleLevel"/>
    <w:tmpl w:val="1B8F9BE8"/>
    <w:lvl w:ilvl="0">
      <w:start w:val="1"/>
      <w:numFmt w:val="decimal"/>
      <w:lvlText w:val="(%1)"/>
      <w:lvlJc w:val="left"/>
      <w:pPr>
        <w:tabs>
          <w:tab w:val="left" w:pos="420"/>
        </w:tabs>
        <w:ind w:left="845" w:hanging="425"/>
      </w:pPr>
      <w:rPr>
        <w:rFonts w:hint="default"/>
      </w:rPr>
    </w:lvl>
  </w:abstractNum>
  <w:abstractNum w:abstractNumId="11">
    <w:nsid w:val="20B9A197"/>
    <w:multiLevelType w:val="singleLevel"/>
    <w:tmpl w:val="20B9A197"/>
    <w:lvl w:ilvl="0">
      <w:start w:val="1"/>
      <w:numFmt w:val="decimal"/>
      <w:lvlText w:val="%1."/>
      <w:lvlJc w:val="left"/>
      <w:pPr>
        <w:ind w:left="425" w:hanging="425"/>
      </w:pPr>
      <w:rPr>
        <w:rFonts w:hint="default"/>
      </w:rPr>
    </w:lvl>
  </w:abstractNum>
  <w:abstractNum w:abstractNumId="12">
    <w:nsid w:val="277EE013"/>
    <w:multiLevelType w:val="singleLevel"/>
    <w:tmpl w:val="277EE013"/>
    <w:lvl w:ilvl="0">
      <w:start w:val="1"/>
      <w:numFmt w:val="decimal"/>
      <w:lvlText w:val="(%1)"/>
      <w:lvlJc w:val="left"/>
      <w:pPr>
        <w:tabs>
          <w:tab w:val="left" w:pos="420"/>
        </w:tabs>
        <w:ind w:left="845" w:hanging="425"/>
      </w:pPr>
      <w:rPr>
        <w:rFonts w:hint="default"/>
      </w:rPr>
    </w:lvl>
  </w:abstractNum>
  <w:abstractNum w:abstractNumId="13">
    <w:nsid w:val="460F221A"/>
    <w:multiLevelType w:val="singleLevel"/>
    <w:tmpl w:val="460F221A"/>
    <w:lvl w:ilvl="0">
      <w:start w:val="1"/>
      <w:numFmt w:val="decimal"/>
      <w:lvlText w:val="%1."/>
      <w:lvlJc w:val="left"/>
      <w:pPr>
        <w:ind w:left="425" w:hanging="425"/>
      </w:pPr>
      <w:rPr>
        <w:rFonts w:hint="default"/>
      </w:rPr>
    </w:lvl>
  </w:abstractNum>
  <w:abstractNum w:abstractNumId="14">
    <w:nsid w:val="48295414"/>
    <w:multiLevelType w:val="singleLevel"/>
    <w:tmpl w:val="48295414"/>
    <w:lvl w:ilvl="0">
      <w:start w:val="1"/>
      <w:numFmt w:val="decimal"/>
      <w:lvlText w:val="%1."/>
      <w:lvlJc w:val="left"/>
      <w:pPr>
        <w:ind w:left="425" w:hanging="425"/>
      </w:pPr>
      <w:rPr>
        <w:rFonts w:hint="default"/>
      </w:rPr>
    </w:lvl>
  </w:abstractNum>
  <w:abstractNum w:abstractNumId="15">
    <w:nsid w:val="4FA89A11"/>
    <w:multiLevelType w:val="singleLevel"/>
    <w:tmpl w:val="4FA89A11"/>
    <w:lvl w:ilvl="0">
      <w:start w:val="1"/>
      <w:numFmt w:val="decimal"/>
      <w:lvlText w:val="%1."/>
      <w:lvlJc w:val="left"/>
      <w:pPr>
        <w:ind w:left="425" w:hanging="425"/>
      </w:pPr>
      <w:rPr>
        <w:rFonts w:hint="default"/>
      </w:rPr>
    </w:lvl>
  </w:abstractNum>
  <w:abstractNum w:abstractNumId="16">
    <w:nsid w:val="5A56E26B"/>
    <w:multiLevelType w:val="singleLevel"/>
    <w:tmpl w:val="5A56E26B"/>
    <w:lvl w:ilvl="0">
      <w:start w:val="1"/>
      <w:numFmt w:val="decimal"/>
      <w:lvlText w:val="(%1)"/>
      <w:lvlJc w:val="left"/>
      <w:pPr>
        <w:tabs>
          <w:tab w:val="left" w:pos="420"/>
        </w:tabs>
        <w:ind w:left="845" w:hanging="425"/>
      </w:pPr>
      <w:rPr>
        <w:rFonts w:hint="default"/>
      </w:rPr>
    </w:lvl>
  </w:abstractNum>
  <w:abstractNum w:abstractNumId="17">
    <w:nsid w:val="5C653AB4"/>
    <w:multiLevelType w:val="singleLevel"/>
    <w:tmpl w:val="5C653AB4"/>
    <w:lvl w:ilvl="0">
      <w:start w:val="1"/>
      <w:numFmt w:val="decimal"/>
      <w:lvlText w:val="%1."/>
      <w:lvlJc w:val="left"/>
      <w:pPr>
        <w:ind w:left="425" w:hanging="425"/>
      </w:pPr>
      <w:rPr>
        <w:rFonts w:hint="default"/>
      </w:rPr>
    </w:lvl>
  </w:abstractNum>
  <w:abstractNum w:abstractNumId="18">
    <w:nsid w:val="5D623EB0"/>
    <w:multiLevelType w:val="singleLevel"/>
    <w:tmpl w:val="5D623EB0"/>
    <w:lvl w:ilvl="0">
      <w:start w:val="1"/>
      <w:numFmt w:val="decimal"/>
      <w:lvlText w:val="%1."/>
      <w:lvlJc w:val="left"/>
      <w:pPr>
        <w:ind w:left="425" w:hanging="425"/>
      </w:pPr>
      <w:rPr>
        <w:rFonts w:hint="default"/>
      </w:rPr>
    </w:lvl>
  </w:abstractNum>
  <w:abstractNum w:abstractNumId="19">
    <w:nsid w:val="7BA60509"/>
    <w:multiLevelType w:val="singleLevel"/>
    <w:tmpl w:val="7BA60509"/>
    <w:lvl w:ilvl="0">
      <w:start w:val="1"/>
      <w:numFmt w:val="decimal"/>
      <w:lvlText w:val="%1."/>
      <w:lvlJc w:val="left"/>
      <w:pPr>
        <w:ind w:left="425" w:hanging="425"/>
      </w:pPr>
      <w:rPr>
        <w:rFonts w:hint="default"/>
      </w:rPr>
    </w:lvl>
  </w:abstractNum>
  <w:abstractNum w:abstractNumId="20">
    <w:nsid w:val="7F48AF64"/>
    <w:multiLevelType w:val="singleLevel"/>
    <w:tmpl w:val="7F48AF64"/>
    <w:lvl w:ilvl="0">
      <w:start w:val="1"/>
      <w:numFmt w:val="decimal"/>
      <w:lvlText w:val="%1."/>
      <w:lvlJc w:val="left"/>
      <w:pPr>
        <w:ind w:left="425" w:hanging="425"/>
      </w:pPr>
      <w:rPr>
        <w:rFonts w:hint="default"/>
      </w:rPr>
    </w:lvl>
  </w:abstractNum>
  <w:num w:numId="1">
    <w:abstractNumId w:val="0"/>
  </w:num>
  <w:num w:numId="2">
    <w:abstractNumId w:val="18"/>
  </w:num>
  <w:num w:numId="3">
    <w:abstractNumId w:val="11"/>
  </w:num>
  <w:num w:numId="4">
    <w:abstractNumId w:val="14"/>
  </w:num>
  <w:num w:numId="5">
    <w:abstractNumId w:val="9"/>
  </w:num>
  <w:num w:numId="6">
    <w:abstractNumId w:val="15"/>
  </w:num>
  <w:num w:numId="7">
    <w:abstractNumId w:val="8"/>
  </w:num>
  <w:num w:numId="8">
    <w:abstractNumId w:val="12"/>
  </w:num>
  <w:num w:numId="9">
    <w:abstractNumId w:val="4"/>
  </w:num>
  <w:num w:numId="10">
    <w:abstractNumId w:val="17"/>
  </w:num>
  <w:num w:numId="11">
    <w:abstractNumId w:val="13"/>
  </w:num>
  <w:num w:numId="12">
    <w:abstractNumId w:val="19"/>
  </w:num>
  <w:num w:numId="13">
    <w:abstractNumId w:val="5"/>
  </w:num>
  <w:num w:numId="14">
    <w:abstractNumId w:val="16"/>
  </w:num>
  <w:num w:numId="15">
    <w:abstractNumId w:val="20"/>
  </w:num>
  <w:num w:numId="16">
    <w:abstractNumId w:val="1"/>
  </w:num>
  <w:num w:numId="17">
    <w:abstractNumId w:val="3"/>
  </w:num>
  <w:num w:numId="18">
    <w:abstractNumId w:val="7"/>
  </w:num>
  <w:num w:numId="19">
    <w:abstractNumId w:val="2"/>
  </w:num>
  <w:num w:numId="20">
    <w:abstractNumId w:val="6"/>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15</Pages>
  <Words>5309</Words>
  <Characters>5507</Characters>
  <Application>Microsoft Office Word</Application>
  <DocSecurity>0</DocSecurity>
  <Lines>0</Lines>
  <Paragraphs>0</Paragraphs>
  <ScaleCrop>false</ScaleCrop>
  <Company/>
  <LinksUpToDate>false</LinksUpToDate>
  <CharactersWithSpaces>5628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2025-12-23T19:46:01Z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