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13241"/>
      <w:bookmarkStart w:id="1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2" w:name="_Toc2563"/>
      <w:r>
        <w:rPr>
          <w:rFonts w:hint="eastAsia"/>
          <w:lang w:val="en-US" w:eastAsia="zh-CN"/>
        </w:rPr>
        <w:t>曲靖供电局110kV变电站电力监控系统网络安全态势感知项目-应急预案（HXDL-ITSS-1002）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:docPartObj>
          <w:docPartGallery w:val="Table of Contents"/>
          <w:docPartUnique/>
        </w:docPartObj>
      </w:sdtPr>
      <w:sdtEndP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曲靖供电局110kV变电站电力监控系统网络安全态势感知项目-应急预案（HXDL-ITSS-1002）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编制目的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_Toc14193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_Toc14193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应急工作原则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应急组织机构及职责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应急</w:t>
          </w:r>
          <w:r>
            <w:rPr>
              <w:rFonts w:hint="eastAsia"/>
              <w:lang w:val="en-US" w:eastAsia="zh-CN"/>
            </w:rPr>
            <w:t>管理部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</w:t>
          </w:r>
          <w:r>
            <w:tab/>
          </w:r>
          <w:r>
            <w:fldChar w:fldCharType="begin"/>
          </w:r>
          <w:r>
            <w:instrText xml:space="preserve"> PAGEREF _Toc17099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事件分级与响应流程</w:t>
          </w:r>
          <w:r>
            <w:tab/>
          </w:r>
          <w:r>
            <w:fldChar w:fldCharType="begin"/>
          </w:r>
          <w:r>
            <w:instrText xml:space="preserve"> PAGEREF _Toc29894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三级响应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二级响应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一级响应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响应流程图</w:t>
          </w:r>
          <w:r>
            <w:tab/>
          </w:r>
          <w:r>
            <w:fldChar w:fldCharType="begin"/>
          </w:r>
          <w:r>
            <w:instrText xml:space="preserve"> PAGEREF _Toc433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后期处置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_Toc27604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预案管理与更新</w:t>
          </w:r>
          <w:r>
            <w:tab/>
          </w:r>
          <w:r>
            <w:fldChar w:fldCharType="begin"/>
          </w:r>
          <w:r>
            <w:instrText xml:space="preserve"> PAGEREF _Toc27604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rPr>
              <w:rFonts w:ascii="Arial" w:eastAsia="宋体" w:hAnsi="Arial" w:cs="Arial" w:hint="default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032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316"/>
      <w:r>
        <w:rPr>
          <w:rFonts w:hint="default"/>
          <w:lang w:val="en-US" w:eastAsia="zh-CN"/>
        </w:rPr>
        <w:t>编制目的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预防和及时、有序、高效地处置“曲靖供电局110kV变电站电力监控系统网络安全态势感知系统建设”项目（以下简称“本项目”）在合同执行期间可能出现的各类突发事件，明确甲乙双方（即云南中恒电力通信技术有限公司与天津市华夏电缆有限公司）的应急职责、响应程序与处置措施，最大限度地减少突发事件对项目进度、服务质量及电网网络安全造成的不利影响，保障项目顺利实施，特制定本预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4193"/>
      <w:r>
        <w:rPr>
          <w:rFonts w:hint="default"/>
          <w:lang w:val="en-US" w:eastAsia="zh-CN"/>
        </w:rPr>
        <w:t>编制依据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本预案主要依据甲乙双方签订的《技术服务合同》（以下简称“主合同”）及相关法律法规、技术标准编制。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8664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本预案适用于本项目自合同生效之日起至项目服务工作完成、费用结清期间，因内外部因素引发的，可能影响项目正常履行的各类突发事件的预防与应对工作。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10"/>
      <w:r>
        <w:rPr>
          <w:rFonts w:hint="default"/>
          <w:lang w:val="en-US" w:eastAsia="zh-CN"/>
        </w:rPr>
        <w:t>应急工作原则</w:t>
      </w:r>
      <w:bookmarkEnd w:id="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预防为主，防处结合： 充分识别合同履行风险，提前采取预防措施。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 在应急状态下，以甲方（委托方）应急领导小组为主导，乙方（服务方）协同响应，各司其职。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快速反应，协同应对： 确保信息通畅，响应迅速，形成处置合力。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依法合规，权责对等： 应急处置措施应符合主合同约定及国家法律法规。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76"/>
      <w:r>
        <w:rPr>
          <w:rFonts w:hint="default"/>
          <w:lang w:val="en-US" w:eastAsia="zh-CN"/>
        </w:rPr>
        <w:t>应急组织机构及职责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5769"/>
      <w:r>
        <w:rPr>
          <w:rFonts w:hint="default"/>
          <w:lang w:val="en-US" w:eastAsia="zh-CN"/>
        </w:rPr>
        <w:t>应急</w:t>
      </w:r>
      <w:r>
        <w:rPr>
          <w:rFonts w:hint="eastAsia"/>
          <w:lang w:val="en-US" w:eastAsia="zh-CN"/>
        </w:rPr>
        <w:t>管理部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应急管理部是在发生紧急情况时临时组织的应急部门，一般由甲乙双方协商组成，应急管理部构成如下：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组长：由甲方指定的项目总代表担任。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副组长：由乙方指定的现场技术负责人担任。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成员：甲乙双方项目主要参与人员。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职责：负责突发事件应急响应的统一领导、决策和指挥；批准启动或终止应急响应；协调内外部应急资源。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应急管理部成员：</w:t>
      </w:r>
      <w:r>
        <w:rPr>
          <w:rFonts w:hint="default"/>
          <w:lang w:val="en-US" w:eastAsia="zh-CN"/>
        </w:rPr>
        <w:t>执行应急领导小组的指令；负责突发事件现场的初步评估、紧急处置、情况上报；落实具体的技术补救或修复措施。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7099"/>
      <w:r>
        <w:rPr>
          <w:rFonts w:hint="default"/>
          <w:lang w:val="en-US" w:eastAsia="zh-CN"/>
        </w:rPr>
        <w:t>应急响应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894"/>
      <w:r>
        <w:rPr>
          <w:rFonts w:hint="default"/>
          <w:lang w:val="en-US" w:eastAsia="zh-CN"/>
        </w:rPr>
        <w:t>事件分级与响应流程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根据突发事件对项目进度、服务质量及现场安全的威胁程度，分为三级：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25127"/>
      <w:r>
        <w:rPr>
          <w:rFonts w:hint="default"/>
          <w:lang w:val="en-US" w:eastAsia="zh-CN"/>
        </w:rPr>
        <w:t>三级响应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乙方提供的服务存在局部瑕疵或轻微不符合要求，甲方不满意但未对整体进度造成实质影响。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响应流程：立即书面通知乙方。乙方应在3天期限内完成改正或弥补。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5822"/>
      <w:r>
        <w:rPr>
          <w:rFonts w:hint="default"/>
          <w:lang w:val="en-US" w:eastAsia="zh-CN"/>
        </w:rPr>
        <w:t>二级响应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乙方人员、技术或管理出现严重问题，导致项目工作停滞超过3天，或可能对电力监控系统现有网络安全造成直接风险。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立即介入，责令乙方限期更换不称职人员或调整技术方案。甲方有权暂停支付费用。双方需共同评估对工期的影响。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11962"/>
      <w:r>
        <w:rPr>
          <w:rFonts w:hint="default"/>
          <w:lang w:val="en-US" w:eastAsia="zh-CN"/>
        </w:rPr>
        <w:t>一级响应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发生因乙方工作导致的网络安全事故、数据泄露、系统瘫痪；或发生不可抗力事件导致项目长期无法进行；或乙方在甲方给予的宽限期内仍无法提供合格服务。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启动最高级别响应，全面评估损失与风险。甲方有权采取一切必要措施防止损失扩大，包括但不限于部分或全部终止合同。同时，依据合同处理后续事宜。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433"/>
      <w:r>
        <w:rPr>
          <w:rFonts w:hint="eastAsia"/>
          <w:lang w:val="en-US" w:eastAsia="zh-CN"/>
        </w:rPr>
        <w:t>响应流程图</w:t>
      </w:r>
      <w:bookmarkEnd w:id="15"/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463.2pt;width:193.2pt" o:oleicon="f" o:ole="" coordsize="21600,21600" o:preferrelative="t" filled="f" stroked="f">
            <v:imagedata r:id="rId5" o:title=""/>
            <o:lock v:ext="edit" aspectratio="t"/>
            <w10:anchorlock/>
          </v:shape>
          <o:OLEObject Type="Embed" ProgID="PBrush" ShapeID="_x0000_i1025" DrawAspect="Content" ObjectID="_1468075725" r:id="rId6"/>
        </w:objec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7271"/>
      <w:r>
        <w:rPr>
          <w:rFonts w:hint="default"/>
          <w:lang w:val="en-US" w:eastAsia="zh-CN"/>
        </w:rPr>
        <w:t>后期处置</w:t>
      </w:r>
      <w:bookmarkEnd w:id="16"/>
    </w:p>
    <w:p>
      <w:pPr>
        <w:pStyle w:val="a1"/>
        <w:numPr>
          <w:ilvl w:val="0"/>
          <w:numId w:val="2"/>
        </w:numPr>
        <w:ind w:left="425" w:right="0" w:hanging="425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调查与评估：事件处置完毕后，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应组织调查，分析原因，评估损失，划分责任。</w:t>
      </w:r>
    </w:p>
    <w:p>
      <w:pPr>
        <w:pStyle w:val="a1"/>
        <w:numPr>
          <w:ilvl w:val="0"/>
          <w:numId w:val="2"/>
        </w:numPr>
        <w:ind w:left="425" w:right="0" w:hanging="425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恢复与改进：乙方须根据调查结论，制定并落实整改措施，防止同类事件再次发生。项目工作应在确保安全的前提下尽快恢复。</w:t>
      </w:r>
    </w:p>
    <w:p>
      <w:pPr>
        <w:pStyle w:val="a1"/>
        <w:numPr>
          <w:ilvl w:val="0"/>
          <w:numId w:val="2"/>
        </w:numPr>
        <w:ind w:left="425" w:right="0" w:hanging="425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合同履行变更：如事件导致工期延误或费用增加，双方应依据合同原则及事件责任协商签订补充协议。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27604"/>
      <w:r>
        <w:rPr>
          <w:rFonts w:hint="default"/>
          <w:lang w:val="en-US" w:eastAsia="zh-CN"/>
        </w:rPr>
        <w:t>预案管理与更新</w:t>
      </w:r>
      <w:bookmarkEnd w:id="17"/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本预案由甲方组织制定，经双方确认后，作为主合同的有效附件，与主合同具有同等法律效力。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本预案应根据项目实际执行情况、演练发现的问题及法律法规变化，由应急领导小组组织定期评审和修订。</w:t>
      </w:r>
    </w:p>
    <w:p>
      <w:pPr>
        <w:pStyle w:val="a1"/>
        <w:ind w:left="0" w:right="0" w:firstLine="0" w:leftChars="0" w:rightChars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本预案的解释权归甲乙双方共同所有，自双方盖章之日起生效。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0DDA553"/>
    <w:multiLevelType w:val="singleLevel"/>
    <w:tmpl w:val="E0DDA5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1627</Words>
  <Characters>1758</Characters>
  <Application>Microsoft Office Word</Application>
  <DocSecurity>0</DocSecurity>
  <Lines>0</Lines>
  <Paragraphs>0</Paragraphs>
  <ScaleCrop>false</ScaleCrop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