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0" w:name="_GoBack"/>
      <w:bookmarkStart w:id="1" w:name="_Toc13241"/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  <w:lang w:val="en-US" w:eastAsia="zh-CN"/>
        </w:rPr>
        <w:t>天津市华夏电缆有限公司</w:t>
      </w:r>
      <w:bookmarkEnd w:id="1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/>
        <w:textAlignment w:val="baseline"/>
        <w:rPr>
          <w:rFonts w:hint="eastAsia"/>
          <w:lang w:val="en-US" w:eastAsia="zh-CN"/>
        </w:rPr>
      </w:pPr>
      <w:bookmarkStart w:id="2" w:name="_Toc2563"/>
      <w:r>
        <w:rPr>
          <w:rFonts w:hint="eastAsia"/>
          <w:lang w:val="en-US" w:eastAsia="zh-CN"/>
        </w:rPr>
        <w:t>曲靖供电局110kV变电站电力监控系统网络安全态势感知项目-应急演练记录（HXDL-ITSS-1005）</w:t>
      </w:r>
      <w:bookmarkEnd w:id="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2025.09.15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2025.09.15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批准人: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审批时间:</w:t>
            </w:r>
            <w:r>
              <w:rPr>
                <w:rFonts w:hint="eastAsia"/>
                <w:u w:val="single"/>
                <w:lang w:val="en-US" w:eastAsia="zh-CN"/>
              </w:rPr>
              <w:t>2025.09.15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b/>
          <w:bCs/>
        </w:rPr>
      </w:pPr>
      <w:r>
        <w:rPr>
          <w:b/>
          <w:bCs/>
        </w:rPr>
        <w:t>文件编制和变更履历</w:t>
      </w:r>
    </w:p>
    <w:tbl>
      <w:tblPr>
        <w:tblStyle w:val="TableNormal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V1.0</w:t>
            </w:r>
          </w:p>
        </w:tc>
        <w:tc>
          <w:tcPr>
            <w:tcW w:w="88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赵川华</w:t>
            </w:r>
          </w:p>
        </w:tc>
        <w:tc>
          <w:tcPr>
            <w:tcW w:w="127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eastAsia="宋体" w:hint="default"/>
                <w:lang w:val="en-US" w:eastAsia="zh-CN"/>
              </w:rPr>
            </w:pPr>
            <w:r>
              <w:t>2025.</w:t>
            </w:r>
            <w:r>
              <w:rPr>
                <w:rFonts w:hint="eastAsia"/>
                <w:lang w:val="en-US" w:eastAsia="zh-CN"/>
              </w:rPr>
              <w:t>9</w:t>
            </w:r>
            <w:r>
              <w:t>.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95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张智宏</w:t>
            </w:r>
          </w:p>
        </w:tc>
        <w:tc>
          <w:tcPr>
            <w:tcW w:w="137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2025.</w:t>
            </w:r>
            <w:r>
              <w:rPr>
                <w:rFonts w:hint="eastAsia"/>
                <w:lang w:val="en-US" w:eastAsia="zh-CN"/>
              </w:rPr>
              <w:t>9</w:t>
            </w:r>
            <w:r>
              <w:t>.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01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陈垒</w:t>
            </w:r>
          </w:p>
        </w:tc>
        <w:tc>
          <w:tcPr>
            <w:tcW w:w="127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2025.</w:t>
            </w:r>
            <w:r>
              <w:rPr>
                <w:rFonts w:hint="eastAsia"/>
                <w:lang w:val="en-US" w:eastAsia="zh-CN"/>
              </w:rPr>
              <w:t>9</w:t>
            </w:r>
            <w:r>
              <w:t>.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6606"/>
        <w:docPartObj>
          <w:docPartGallery w:val="Table of Contents"/>
          <w:docPartUnique/>
        </w:docPartObj>
      </w:sdtPr>
      <w:sdtEndPr>
        <w:rPr>
          <w:rFonts w:ascii="Arial" w:eastAsia="宋体" w:hAnsi="Arial" w:cs="Arial" w:hint="default"/>
          <w:snapToGrid w:val="0"/>
          <w:color w:val="000000"/>
          <w:kern w:val="0"/>
          <w:sz w:val="21"/>
          <w:szCs w:val="21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TOC \o "1-3" \h \u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_Toc13241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_Toc13241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_Toc2563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曲靖供电局110kV变电站电力监控系统网络安全态势感知项目-应急预案（HXDL-ITSS-1002）</w:t>
          </w:r>
          <w:r>
            <w:tab/>
          </w:r>
          <w:r>
            <w:fldChar w:fldCharType="begin"/>
          </w:r>
          <w:r>
            <w:instrText xml:space="preserve"> PAGEREF _Toc2563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_Toc8032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_Toc8032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_Toc2316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1.1. 编制目的</w:t>
          </w:r>
          <w:r>
            <w:tab/>
          </w:r>
          <w:r>
            <w:fldChar w:fldCharType="begin"/>
          </w:r>
          <w:r>
            <w:instrText xml:space="preserve"> PAGEREF _Toc2316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_Toc14193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1.2. 编制依据</w:t>
          </w:r>
          <w:r>
            <w:tab/>
          </w:r>
          <w:r>
            <w:fldChar w:fldCharType="begin"/>
          </w:r>
          <w:r>
            <w:instrText xml:space="preserve"> PAGEREF _Toc14193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_Toc28664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1.3. 适用范围</w:t>
          </w:r>
          <w:r>
            <w:tab/>
          </w:r>
          <w:r>
            <w:fldChar w:fldCharType="begin"/>
          </w:r>
          <w:r>
            <w:instrText xml:space="preserve"> PAGEREF _Toc28664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_Toc10610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 应急工作原则</w:t>
          </w:r>
          <w:r>
            <w:tab/>
          </w:r>
          <w:r>
            <w:fldChar w:fldCharType="begin"/>
          </w:r>
          <w:r>
            <w:instrText xml:space="preserve"> PAGEREF _Toc10610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_Toc2376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 应急组织机构及职责</w:t>
          </w:r>
          <w:r>
            <w:tab/>
          </w:r>
          <w:r>
            <w:fldChar w:fldCharType="begin"/>
          </w:r>
          <w:r>
            <w:instrText xml:space="preserve"> PAGEREF _Toc2376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_Toc25769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3.1. 应急</w:t>
          </w:r>
          <w:r>
            <w:rPr>
              <w:rFonts w:hint="eastAsia"/>
              <w:lang w:val="en-US" w:eastAsia="zh-CN"/>
            </w:rPr>
            <w:t>管理部</w:t>
          </w:r>
          <w:r>
            <w:tab/>
          </w:r>
          <w:r>
            <w:fldChar w:fldCharType="begin"/>
          </w:r>
          <w:r>
            <w:instrText xml:space="preserve"> PAGEREF _Toc25769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_Toc17099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 应急响应</w:t>
          </w:r>
          <w:r>
            <w:tab/>
          </w:r>
          <w:r>
            <w:fldChar w:fldCharType="begin"/>
          </w:r>
          <w:r>
            <w:instrText xml:space="preserve"> PAGEREF _Toc17099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_Toc29894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 事件分级与响应流程</w:t>
          </w:r>
          <w:r>
            <w:tab/>
          </w:r>
          <w:r>
            <w:fldChar w:fldCharType="begin"/>
          </w:r>
          <w:r>
            <w:instrText xml:space="preserve"> PAGEREF _Toc29894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_Toc25127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4.1.1. 三级响应</w:t>
          </w:r>
          <w:r>
            <w:tab/>
          </w:r>
          <w:r>
            <w:fldChar w:fldCharType="begin"/>
          </w:r>
          <w:r>
            <w:instrText xml:space="preserve"> PAGEREF _Toc25127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_Toc5822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4.1.2. 二级响应</w:t>
          </w:r>
          <w:r>
            <w:tab/>
          </w:r>
          <w:r>
            <w:fldChar w:fldCharType="begin"/>
          </w:r>
          <w:r>
            <w:instrText xml:space="preserve"> PAGEREF _Toc5822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_Toc11962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4.1.3. 一级响应</w:t>
          </w:r>
          <w:r>
            <w:tab/>
          </w:r>
          <w:r>
            <w:fldChar w:fldCharType="begin"/>
          </w:r>
          <w:r>
            <w:instrText xml:space="preserve"> PAGEREF _Toc11962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_Toc433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响应流程图</w:t>
          </w:r>
          <w:r>
            <w:tab/>
          </w:r>
          <w:r>
            <w:fldChar w:fldCharType="begin"/>
          </w:r>
          <w:r>
            <w:instrText xml:space="preserve"> PAGEREF _Toc433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_Toc17271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 后期处置</w:t>
          </w:r>
          <w:r>
            <w:tab/>
          </w:r>
          <w:r>
            <w:fldChar w:fldCharType="begin"/>
          </w:r>
          <w:r>
            <w:instrText xml:space="preserve"> PAGEREF _Toc17271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_Toc27604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6. 预案管理与更新</w:t>
          </w:r>
          <w:r>
            <w:tab/>
          </w:r>
          <w:r>
            <w:fldChar w:fldCharType="begin"/>
          </w:r>
          <w:r>
            <w:instrText xml:space="preserve"> PAGEREF _Toc27604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rPr>
              <w:rFonts w:ascii="Arial" w:eastAsia="宋体" w:hAnsi="Arial" w:cs="Arial" w:hint="default"/>
              <w:snapToGrid w:val="0"/>
              <w:color w:val="000000"/>
              <w:kern w:val="0"/>
              <w:sz w:val="21"/>
              <w:szCs w:val="21"/>
              <w:lang w:val="en-US" w:eastAsia="zh-CN" w:bidi="ar-SA"/>
            </w:rPr>
          </w:pPr>
          <w:r>
            <w:rPr>
              <w:rFonts w:hint="default"/>
              <w:lang w:val="en-US" w:eastAsia="zh-CN"/>
            </w:rPr>
            <w:fldChar w:fldCharType="end"/>
          </w:r>
        </w:p>
      </w:sdtContent>
    </w:sdt>
    <w:p>
      <w:pPr>
        <w:rPr>
          <w:rFonts w:ascii="Arial" w:eastAsia="宋体" w:hAnsi="Arial" w:cs="Arial" w:hint="default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ascii="Arial" w:eastAsia="宋体" w:hAnsi="Arial" w:cs="Arial" w:hint="default"/>
          <w:snapToGrid w:val="0"/>
          <w:color w:val="000000"/>
          <w:kern w:val="0"/>
          <w:sz w:val="21"/>
          <w:szCs w:val="21"/>
          <w:lang w:val="en-US" w:eastAsia="zh-CN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演练基本信息</w:t>
      </w:r>
    </w:p>
    <w:p>
      <w:pPr>
        <w:pStyle w:val="a1"/>
        <w:ind w:left="0" w:right="0" w:firstLine="0" w:leftChars="0" w:rightChars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演练名称： 合同执行专项应急演练（二级响应模拟）</w:t>
      </w:r>
    </w:p>
    <w:p>
      <w:pPr>
        <w:pStyle w:val="a1"/>
        <w:ind w:left="0" w:right="0" w:firstLine="0" w:leftChars="0" w:rightChars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演练目的： 检验《合同执行专项应急预案》及《应急实施方案》的有效性和可操作性；磨合甲乙双方应急协作机制；重点验证合同约定的“改正通知与费用暂停”流程的执行。</w:t>
      </w:r>
    </w:p>
    <w:p>
      <w:pPr>
        <w:pStyle w:val="a1"/>
        <w:ind w:left="0" w:right="0" w:firstLine="0" w:leftChars="0" w:rightChars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演练类型： ☑ 实战演练（桌面+模拟文书）</w:t>
      </w:r>
    </w:p>
    <w:p>
      <w:pPr>
        <w:pStyle w:val="a1"/>
        <w:ind w:left="0" w:right="0" w:firstLine="0" w:leftChars="0" w:rightChars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依据文件： 《合同执行专项应急预案》、《应急实施方案》、本项目主合同、《应急演练计划（HXDL-ITSS-1004）》</w:t>
      </w:r>
    </w:p>
    <w:p>
      <w:pPr>
        <w:pStyle w:val="a1"/>
        <w:ind w:left="0" w:right="0" w:firstLine="0" w:leftChars="0" w:rightChars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演练时间： 2025年9月10日 09:00 - 11:30</w:t>
      </w:r>
    </w:p>
    <w:p>
      <w:pPr>
        <w:pStyle w:val="a1"/>
        <w:ind w:left="0" w:right="0" w:firstLine="0" w:leftChars="0" w:rightChars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演练地点： 主会场：云南中恒电力通信技术有限公司项目部会议室；</w:t>
      </w:r>
    </w:p>
    <w:p>
      <w:pPr>
        <w:pStyle w:val="a1"/>
        <w:ind w:left="0" w:right="0" w:firstLine="0" w:leftChars="0" w:rightChars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分会场：天津市华夏电缆有限公司现场办公室</w:t>
      </w:r>
    </w:p>
    <w:p>
      <w:pPr>
        <w:pStyle w:val="a1"/>
        <w:ind w:left="0" w:right="0" w:firstLine="0" w:leftChars="0" w:rightChars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情景设定： 模拟乙方（云南腾电）技术人员在未充分授权的情况下，于某110kV变电站进行模拟攻击测试，触发调度主站高级别网络安全告警，导致甲方（云南中恒）被上级单位（曲靖供电局）质询，项目面临中断风险的突发事件。</w:t>
      </w:r>
    </w:p>
    <w:p>
      <w:pPr>
        <w:pStyle w:val="a1"/>
        <w:ind w:left="0" w:right="0" w:firstLine="0" w:leftChars="0" w:rightChars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参演单位： 云南中恒电力通信技术有限公司（甲方）、天津市华夏电缆有限公司（乙方）</w:t>
      </w:r>
    </w:p>
    <w:p>
      <w:pPr>
        <w:pStyle w:val="a1"/>
        <w:ind w:left="0" w:right="0" w:firstLine="0" w:leftChars="0" w:rightChars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主要参演人员及角色：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甲方（云南中恒）： 项目总代表（应急组长）李峰、技术负责人王伟、现场监理张明（参演）。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乙方（云南腾电）： 现场负责人赵强（应急副组长）、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工程师陈浩（参演）。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控制与评估： 甲方项目经理刘涛（控制），双方各指定记录员一名。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演练处置过程记录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阶段一：演练准备与启动 (09:00 - 09:15)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09:00，全体参演及控制、记录人员于主、分会场集合完毕。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控制员刘涛重申演练规则，强调“是演练不是演戏”及保密要求，明确演练旨在检验流程、非追究个人责任。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控制员详细介绍预设的“二级响应”模拟场景、初始条件及预期流程。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双方确认通讯链路（电话、即时通讯工具）畅通，文书模板就绪。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总指挥李峰宣布演练正式开始，各角色进入预定状态。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阶段二：事件发生与初期响应 (09:15 - 09:40)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09:15（事件触发）： 控制组向甲方参演员张明发布模拟告警信息：“接到供电局调度中心电话，质询关于某110kV变电站的异常高频扫描告警，要求我方立即说明情况。”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09:15-09:30（初期报告）： 甲方参演员张明立即执行“双线报告”：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通过电话向甲方应急组长李峰报告事件概况。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同时通过即时通讯工具向乙方现场负责人赵强通报情况，并要求其立即核查。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处置亮点： 报告行动迅速，渠道正确，符合《应急实施方案》2.2条要求。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09:30-09:40（应急启动）： 甲方李峰与乙方赵强进行紧急电话会议，快速核实模拟情况。基于事件已引发外部单位质询、存在明显操作违规的事实，根据《实施方案》3.2条及合同精神，甲方李峰决策启动二级应急响应。双方总代表确认响应级别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阶段三：应急响应与现场处置 (09:40 - 10:50)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09:40-10:00（决策与正式通知）：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甲方李峰作为总指挥，正式模拟签署《费用暂停支付与限期整改通知单》，依据合同第7.2条，宣布暂停相关款项支付，并限令乙方在规定时限内提交正式报告。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处置亮点： 甲方熟练、果断地引用合同具体条款作为决策和行动依据，体现了预案与合同的衔接。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10:00-10:30（乙方调查与报告）：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乙方赵强组织内部简短复盘，分析“违规操作”原因。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乙方在模拟时限（30分钟）内向甲方提交了《事件原因分析报告》和《纠正措施计划》草案。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暴露问题： 乙方提交的首版《原因分析报告》对责任描述模糊，倾向于归咎于“沟通误会”。经甲方质询后，修正版才正视“操作流程违规”的核心事实。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处置结果： 乙方在规定时间内完成了报告提交，且《纠正措施计划》基本涵盖了人员再培训、流程复核等关键措施。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10:30-10:50（甲方评估与闭环）：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甲方李峰、王伟等对乙方提交的文件进行审查。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甲方认为《纠正措施计划》方向正确，但需增加刚性约束条款。经协商，要求乙方在计划中明确加入“所有现场测试操作前必须签署《安全操作确认单》并经甲方书面许可”的内容。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乙方接受甲方意见，更新计划。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双方模拟签署《情况说明及复工确认书》，标志着本次模拟事件在处置流程上实现闭环。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阶段四：演练总结与评估 (10:50 - 11:30)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所有参演、控制、记录人员集中进行复盘总结。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氛围坦诚、务实，讨论聚焦于流程改进而非个人问责。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记录员汇报关键时间节点和观察到的亮点与问题。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双方共同讨论了信息记录规范性、乙方报告质量、预案合同衔接清晰度等具体问题，并初步形成了5项改进建议（详见对应报告）。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明确了《应急演练报告》的编写分工与完成时限。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处置过程关键结论</w:t>
      </w:r>
    </w:p>
    <w:p>
      <w:pPr>
        <w:pStyle w:val="a1"/>
        <w:ind w:left="0" w:right="0" w:firstLine="0" w:leftChars="0" w:rightChars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流程有效性得到验证： 从事件触发到响应启动（25分钟）、决策通知、乙方报告、甲方评估闭环的完整流程得到执行，证明主要应急路径是可行的。</w:t>
      </w:r>
    </w:p>
    <w:p>
      <w:pPr>
        <w:pStyle w:val="a1"/>
        <w:ind w:left="0" w:right="0" w:firstLine="0" w:leftChars="0" w:rightChars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协作机制基本畅通： 双方沟通渠道有效，关键决策层能快速对接并做出统一决策。</w:t>
      </w:r>
    </w:p>
    <w:p>
      <w:pPr>
        <w:pStyle w:val="a1"/>
        <w:ind w:left="0" w:right="0" w:firstLine="0" w:leftChars="0" w:rightChars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暴露核心薄弱环节： 应急通讯的“留痕”管理不足、乙方对高级别响应严肃性的认识及初次报告质量需提升、预案与合同后果的联动指引需强化。</w:t>
      </w:r>
    </w:p>
    <w:p>
      <w:pPr>
        <w:pStyle w:val="a1"/>
        <w:ind w:left="0" w:right="0" w:firstLine="0" w:leftChars="0" w:rightChars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达到演练核心目的： 成功检验了预案，锻炼了队伍，并识别出具体、可操作的改进点，为应急体系的完善提供了直接依据。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2144</Words>
  <Characters>2413</Characters>
  <Application>Microsoft Office Word</Application>
  <DocSecurity>0</DocSecurity>
  <Lines>0</Lines>
  <Paragraphs>0</Paragraphs>
  <ScaleCrop>false</ScaleCrop>
  <Company/>
  <LinksUpToDate>false</LinksUpToDate>
  <CharactersWithSpaces>2517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2025-12-23T19:46:29Z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