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lang w:val="en-US" w:eastAsia="zh-CN"/>
        </w:rPr>
      </w:pPr>
      <w:r>
        <w:drawing>
          <wp:anchor distT="0" distB="0" distL="114300" distR="114300" simplePos="0" relativeHeight="251658240" behindDoc="1" locked="0" layoutInCell="1" allowOverlap="1">
            <wp:simplePos x="0" y="0"/>
            <wp:positionH relativeFrom="column">
              <wp:posOffset>-1186815</wp:posOffset>
            </wp:positionH>
            <wp:positionV relativeFrom="paragraph">
              <wp:posOffset>15875</wp:posOffset>
            </wp:positionV>
            <wp:extent cx="7609840" cy="9761855"/>
            <wp:effectExtent l="0" t="0" r="10160" b="698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4"/>
                    <a:stretch>
                      <a:fillRect/>
                    </a:stretch>
                  </pic:blipFill>
                  <pic:spPr>
                    <a:xfrm>
                      <a:off x="0" y="0"/>
                      <a:ext cx="7609840" cy="9761855"/>
                    </a:xfrm>
                    <a:prstGeom prst="rect">
                      <a:avLst/>
                    </a:prstGeom>
                    <a:noFill/>
                    <a:ln>
                      <a:noFill/>
                    </a:ln>
                  </pic:spPr>
                </pic:pic>
              </a:graphicData>
            </a:graphic>
          </wp:anchor>
        </w:drawing>
      </w:r>
      <w:r>
        <w:rPr>
          <w:rFonts w:hint="eastAsia"/>
          <w:lang w:val="en-US" w:eastAsia="zh-CN"/>
        </w:rPr>
        <w:t>天津市华夏电缆有限公司</w:t>
      </w:r>
    </w:p>
    <w:p>
      <w:pPr>
        <w:pStyle w:val="a0"/>
        <w:keepNext w:val="0"/>
        <w:keepLines w:val="0"/>
        <w:pageBreakBefore w:val="0"/>
        <w:widowControl w:val="0"/>
        <w:kinsoku w:val="0"/>
        <w:wordWrap/>
        <w:overflowPunct/>
        <w:topLinePunct w:val="0"/>
        <w:autoSpaceDE w:val="0"/>
        <w:autoSpaceDN w:val="0"/>
        <w:bidi w:val="0"/>
        <w:adjustRightInd w:val="0"/>
        <w:snapToGrid w:val="0"/>
        <w:spacing w:before="0" w:after="0" w:afterLines="0"/>
        <w:ind w:left="0" w:right="0" w:firstLine="0" w:leftChars="0" w:rightChars="0" w:firstLineChars="0"/>
        <w:jc w:val="center"/>
        <w:textAlignment w:val="baseline"/>
        <w:rPr>
          <w:rFonts w:hint="eastAsia"/>
          <w:lang w:val="en-US" w:eastAsia="zh-CN"/>
        </w:rPr>
      </w:pPr>
      <w:r>
        <w:rPr>
          <w:rFonts w:hint="eastAsia"/>
          <w:lang w:val="en-US" w:eastAsia="zh-CN"/>
        </w:rPr>
        <w:t>运维服务能力管理制度</w:t>
      </w:r>
    </w:p>
    <w:p>
      <w:pPr>
        <w:pStyle w:val="a0"/>
        <w:keepNext w:val="0"/>
        <w:keepLines w:val="0"/>
        <w:pageBreakBefore w:val="0"/>
        <w:widowControl w:val="0"/>
        <w:kinsoku w:val="0"/>
        <w:wordWrap/>
        <w:overflowPunct/>
        <w:topLinePunct w:val="0"/>
        <w:autoSpaceDE w:val="0"/>
        <w:autoSpaceDN w:val="0"/>
        <w:bidi w:val="0"/>
        <w:adjustRightInd w:val="0"/>
        <w:snapToGrid w:val="0"/>
        <w:spacing w:before="0" w:after="0" w:afterLines="0"/>
        <w:ind w:left="0" w:right="0" w:firstLine="0" w:leftChars="0" w:rightChars="0" w:firstLineChars="0"/>
        <w:jc w:val="center"/>
        <w:textAlignment w:val="baseline"/>
        <w:rPr>
          <w:rFonts w:hint="eastAsia"/>
          <w:lang w:val="en-US" w:eastAsia="zh-CN"/>
        </w:rPr>
      </w:pPr>
      <w:r>
        <w:rPr>
          <w:rFonts w:hint="eastAsia"/>
          <w:lang w:val="en-US" w:eastAsia="zh-CN"/>
        </w:rPr>
        <w:t>（HXDL-ITSS-0301）</w:t>
      </w:r>
    </w:p>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eastAsia"/>
          <w:lang w:val="en-US" w:eastAsia="zh-CN"/>
        </w:rPr>
      </w:pP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1818"/>
        <w:gridCol w:w="4261"/>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1818"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left"/>
              <w:textAlignment w:val="baseline"/>
              <w:rPr>
                <w:rFonts w:hint="default"/>
                <w:vertAlign w:val="baseline"/>
                <w:lang w:val="en-US" w:eastAsia="zh-CN"/>
              </w:rPr>
            </w:pPr>
            <w:r>
              <w:rPr>
                <w:rFonts w:hint="eastAsia"/>
                <w:vertAlign w:val="baseline"/>
                <w:lang w:val="en-US" w:eastAsia="zh-CN"/>
              </w:rPr>
              <w:t>编制人</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赵川华</w:t>
            </w:r>
          </w:p>
        </w:tc>
        <w:tc>
          <w:tcPr>
            <w:tcW w:w="4261"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right"/>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2025.07.07</w:t>
            </w:r>
          </w:p>
        </w:tc>
      </w:tr>
      <w:tr>
        <w:tblPrEx>
          <w:tblW w:w="0" w:type="auto"/>
          <w:jc w:val="center"/>
          <w:tblCellMar>
            <w:top w:w="0" w:type="dxa"/>
            <w:left w:w="108" w:type="dxa"/>
            <w:bottom w:w="0" w:type="dxa"/>
            <w:right w:w="108" w:type="dxa"/>
          </w:tblCellMar>
        </w:tblPrEx>
        <w:trPr>
          <w:trHeight w:val="810"/>
          <w:jc w:val="center"/>
        </w:trPr>
        <w:tc>
          <w:tcPr>
            <w:tcW w:w="181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left"/>
              <w:textAlignment w:val="baseline"/>
              <w:rPr>
                <w:rFonts w:ascii="Arial" w:eastAsia="Arial" w:hAnsi="Arial" w:cs="Arial" w:hint="eastAsia"/>
                <w:snapToGrid w:val="0"/>
                <w:color w:val="000000"/>
                <w:kern w:val="0"/>
                <w:sz w:val="21"/>
                <w:szCs w:val="21"/>
                <w:vertAlign w:val="baseline"/>
                <w:lang w:val="en-US" w:eastAsia="zh-CN" w:bidi="ar-SA"/>
              </w:rPr>
            </w:pPr>
            <w:r>
              <w:rPr>
                <w:rFonts w:hint="eastAsia"/>
                <w:vertAlign w:val="baseline"/>
                <w:lang w:val="en-US" w:eastAsia="zh-CN"/>
              </w:rPr>
              <w:t>审核人</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张智宏</w:t>
            </w:r>
          </w:p>
        </w:tc>
        <w:tc>
          <w:tcPr>
            <w:tcW w:w="4261"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right"/>
              <w:textAlignment w:val="baseline"/>
              <w:rPr>
                <w:rFonts w:ascii="Arial" w:eastAsia="Arial" w:hAnsi="Arial" w:cs="Arial" w:hint="eastAsia"/>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2025.07.07</w:t>
            </w:r>
          </w:p>
        </w:tc>
      </w:tr>
      <w:tr>
        <w:tblPrEx>
          <w:tblW w:w="0" w:type="auto"/>
          <w:jc w:val="center"/>
          <w:tblCellMar>
            <w:top w:w="0" w:type="dxa"/>
            <w:left w:w="108" w:type="dxa"/>
            <w:bottom w:w="0" w:type="dxa"/>
            <w:right w:w="108" w:type="dxa"/>
          </w:tblCellMar>
        </w:tblPrEx>
        <w:trPr>
          <w:trHeight w:val="635"/>
          <w:jc w:val="center"/>
        </w:trPr>
        <w:tc>
          <w:tcPr>
            <w:tcW w:w="1818"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left"/>
              <w:textAlignment w:val="baseline"/>
              <w:rPr>
                <w:rFonts w:hint="eastAsia"/>
                <w:vertAlign w:val="baseline"/>
                <w:lang w:val="en-US" w:eastAsia="zh-CN"/>
              </w:rPr>
            </w:pPr>
            <w:r>
              <w:rPr>
                <w:rFonts w:hint="eastAsia"/>
                <w:vertAlign w:val="baseline"/>
                <w:lang w:val="en-US" w:eastAsia="zh-CN"/>
              </w:rPr>
              <w:t>批准人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陈垒</w:t>
            </w:r>
          </w:p>
        </w:tc>
        <w:tc>
          <w:tcPr>
            <w:tcW w:w="4261"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right"/>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2025.07.07</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keepNext w:val="0"/>
        <w:keepLines w:val="0"/>
        <w:pageBreakBefore w:val="0"/>
        <w:widowControl w:val="0"/>
        <w:kinsoku w:val="0"/>
        <w:wordWrap/>
        <w:overflowPunct/>
        <w:topLinePunct w:val="0"/>
        <w:autoSpaceDE w:val="0"/>
        <w:autoSpaceDN w:val="0"/>
        <w:bidi w:val="0"/>
        <w:adjustRightInd w:val="0"/>
        <w:snapToGrid w:val="0"/>
        <w:spacing w:before="98" w:line="220" w:lineRule="auto"/>
        <w:ind w:left="3195"/>
        <w:textAlignment w:val="baseline"/>
        <w:outlineLvl w:val="0"/>
        <w:rPr>
          <w:rFonts w:ascii="宋体" w:eastAsia="宋体" w:hAnsi="宋体" w:cs="宋体"/>
          <w:sz w:val="30"/>
          <w:szCs w:val="30"/>
        </w:rPr>
      </w:pPr>
      <w:r>
        <w:rPr>
          <w:rFonts w:ascii="宋体" w:eastAsia="宋体" w:hAnsi="宋体" w:cs="宋体"/>
          <w:b/>
          <w:bCs/>
          <w:spacing w:val="-4"/>
          <w:sz w:val="30"/>
          <w:szCs w:val="30"/>
        </w:rPr>
        <w:t>文件编制和变更履历</w:t>
      </w:r>
    </w:p>
    <w:tbl>
      <w:tblPr>
        <w:tblStyle w:val="TableNormal00"/>
        <w:tblW w:w="9005"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tblPrEx>
          <w:tblW w:w="9005"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PrEx>
        <w:trPr>
          <w:trHeight w:val="489"/>
        </w:trPr>
        <w:tc>
          <w:tcPr>
            <w:tcW w:w="845" w:type="dxa"/>
            <w:vMerge w:val="restart"/>
            <w:tcBorders>
              <w:top w:val="single" w:sz="10" w:space="0" w:color="000000"/>
              <w:left w:val="single" w:sz="10" w:space="0" w:color="000000"/>
              <w:bottom w:val="nil"/>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72"/>
              <w:textAlignment w:val="baseline"/>
              <w:rPr>
                <w:rFonts w:ascii="宋体" w:eastAsia="宋体" w:hAnsi="宋体" w:cs="宋体"/>
                <w:sz w:val="24"/>
                <w:szCs w:val="24"/>
              </w:rPr>
            </w:pPr>
            <w:r>
              <w:rPr>
                <w:rFonts w:ascii="宋体" w:eastAsia="宋体" w:hAnsi="宋体" w:cs="宋体"/>
                <w:b/>
                <w:bCs/>
                <w:spacing w:val="-5"/>
                <w:sz w:val="24"/>
                <w:szCs w:val="24"/>
              </w:rPr>
              <w:t>版本</w:t>
            </w:r>
          </w:p>
        </w:tc>
        <w:tc>
          <w:tcPr>
            <w:tcW w:w="2155" w:type="dxa"/>
            <w:gridSpan w:val="2"/>
            <w:tcBorders>
              <w:top w:val="single" w:sz="10" w:space="0" w:color="000000"/>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528"/>
              <w:textAlignment w:val="baseline"/>
              <w:rPr>
                <w:rFonts w:ascii="宋体" w:eastAsia="宋体" w:hAnsi="宋体" w:cs="宋体"/>
                <w:sz w:val="24"/>
                <w:szCs w:val="24"/>
              </w:rPr>
            </w:pPr>
            <w:r>
              <w:rPr>
                <w:rFonts w:ascii="宋体" w:eastAsia="宋体" w:hAnsi="宋体" w:cs="宋体"/>
                <w:b/>
                <w:bCs/>
                <w:spacing w:val="-4"/>
                <w:sz w:val="24"/>
                <w:szCs w:val="24"/>
              </w:rPr>
              <w:t>编制/更改</w:t>
            </w:r>
          </w:p>
        </w:tc>
        <w:tc>
          <w:tcPr>
            <w:tcW w:w="2334" w:type="dxa"/>
            <w:gridSpan w:val="2"/>
            <w:tcBorders>
              <w:top w:val="single" w:sz="10" w:space="0" w:color="000000"/>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927"/>
              <w:textAlignment w:val="baseline"/>
              <w:rPr>
                <w:rFonts w:ascii="宋体" w:eastAsia="宋体" w:hAnsi="宋体" w:cs="宋体"/>
                <w:sz w:val="24"/>
                <w:szCs w:val="24"/>
              </w:rPr>
            </w:pPr>
            <w:r>
              <w:rPr>
                <w:rFonts w:ascii="宋体" w:eastAsia="宋体" w:hAnsi="宋体" w:cs="宋体"/>
                <w:b/>
                <w:bCs/>
                <w:spacing w:val="-6"/>
                <w:sz w:val="24"/>
                <w:szCs w:val="24"/>
              </w:rPr>
              <w:t>发布</w:t>
            </w:r>
          </w:p>
        </w:tc>
        <w:tc>
          <w:tcPr>
            <w:tcW w:w="2288" w:type="dxa"/>
            <w:gridSpan w:val="2"/>
            <w:tcBorders>
              <w:top w:val="single" w:sz="10" w:space="0" w:color="000000"/>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911"/>
              <w:textAlignment w:val="baseline"/>
              <w:rPr>
                <w:rFonts w:ascii="宋体" w:eastAsia="宋体" w:hAnsi="宋体" w:cs="宋体"/>
                <w:sz w:val="24"/>
                <w:szCs w:val="24"/>
              </w:rPr>
            </w:pPr>
            <w:r>
              <w:rPr>
                <w:rFonts w:ascii="宋体" w:eastAsia="宋体" w:hAnsi="宋体" w:cs="宋体"/>
                <w:b/>
                <w:bCs/>
                <w:spacing w:val="-6"/>
                <w:sz w:val="24"/>
                <w:szCs w:val="24"/>
              </w:rPr>
              <w:t>实施</w:t>
            </w:r>
          </w:p>
        </w:tc>
        <w:tc>
          <w:tcPr>
            <w:tcW w:w="1383" w:type="dxa"/>
            <w:vMerge w:val="restart"/>
            <w:tcBorders>
              <w:top w:val="single" w:sz="10" w:space="0" w:color="000000"/>
              <w:bottom w:val="nil"/>
              <w:right w:val="single" w:sz="10" w:space="0" w:color="000000"/>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217"/>
              <w:textAlignment w:val="baseline"/>
              <w:rPr>
                <w:rFonts w:ascii="宋体" w:eastAsia="宋体" w:hAnsi="宋体" w:cs="宋体"/>
                <w:sz w:val="24"/>
                <w:szCs w:val="24"/>
              </w:rPr>
            </w:pPr>
            <w:r>
              <w:rPr>
                <w:rFonts w:ascii="宋体" w:eastAsia="宋体" w:hAnsi="宋体" w:cs="宋体"/>
                <w:b/>
                <w:bCs/>
                <w:spacing w:val="-5"/>
                <w:sz w:val="24"/>
                <w:szCs w:val="24"/>
              </w:rPr>
              <w:t>更改记录</w:t>
            </w:r>
          </w:p>
        </w:tc>
      </w:tr>
      <w:tr>
        <w:tblPrEx>
          <w:tblW w:w="9005" w:type="dxa"/>
          <w:tblInd w:w="34" w:type="dxa"/>
          <w:tblLayout w:type="fixed"/>
          <w:tblCellMar>
            <w:top w:w="0" w:type="dxa"/>
            <w:left w:w="0" w:type="dxa"/>
            <w:bottom w:w="0" w:type="dxa"/>
            <w:right w:w="0" w:type="dxa"/>
          </w:tblCellMar>
        </w:tblPrEx>
        <w:trPr>
          <w:trHeight w:val="479"/>
        </w:trPr>
        <w:tc>
          <w:tcPr>
            <w:tcW w:w="845" w:type="dxa"/>
            <w:vMerge/>
            <w:tcBorders>
              <w:top w:val="nil"/>
              <w:left w:val="single" w:sz="10" w:space="0" w:color="000000"/>
            </w:tcBorders>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881"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191"/>
              <w:textAlignment w:val="baseline"/>
              <w:rPr>
                <w:rFonts w:ascii="宋体" w:eastAsia="宋体" w:hAnsi="宋体" w:cs="宋体"/>
                <w:sz w:val="24"/>
                <w:szCs w:val="24"/>
              </w:rPr>
            </w:pPr>
            <w:r>
              <w:rPr>
                <w:rFonts w:ascii="宋体" w:eastAsia="宋体" w:hAnsi="宋体" w:cs="宋体"/>
                <w:b/>
                <w:bCs/>
                <w:spacing w:val="-5"/>
                <w:sz w:val="24"/>
                <w:szCs w:val="24"/>
              </w:rPr>
              <w:t>作者</w:t>
            </w:r>
          </w:p>
        </w:tc>
        <w:tc>
          <w:tcPr>
            <w:tcW w:w="1274"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30"/>
              <w:textAlignment w:val="baseline"/>
              <w:rPr>
                <w:rFonts w:ascii="宋体" w:eastAsia="宋体" w:hAnsi="宋体" w:cs="宋体"/>
                <w:sz w:val="24"/>
                <w:szCs w:val="24"/>
              </w:rPr>
            </w:pPr>
            <w:r>
              <w:rPr>
                <w:rFonts w:ascii="宋体" w:eastAsia="宋体" w:hAnsi="宋体" w:cs="宋体"/>
                <w:b/>
                <w:bCs/>
                <w:spacing w:val="-15"/>
                <w:sz w:val="24"/>
                <w:szCs w:val="24"/>
              </w:rPr>
              <w:t>日期</w:t>
            </w:r>
          </w:p>
        </w:tc>
        <w:tc>
          <w:tcPr>
            <w:tcW w:w="957"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244"/>
              <w:textAlignment w:val="baseline"/>
              <w:rPr>
                <w:rFonts w:ascii="宋体" w:eastAsia="宋体" w:hAnsi="宋体" w:cs="宋体"/>
                <w:sz w:val="24"/>
                <w:szCs w:val="24"/>
              </w:rPr>
            </w:pPr>
            <w:r>
              <w:rPr>
                <w:rFonts w:ascii="宋体" w:eastAsia="宋体" w:hAnsi="宋体" w:cs="宋体"/>
                <w:b/>
                <w:bCs/>
                <w:spacing w:val="-8"/>
                <w:sz w:val="24"/>
                <w:szCs w:val="24"/>
              </w:rPr>
              <w:t>审核</w:t>
            </w:r>
          </w:p>
        </w:tc>
        <w:tc>
          <w:tcPr>
            <w:tcW w:w="1377"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87"/>
              <w:textAlignment w:val="baseline"/>
              <w:rPr>
                <w:rFonts w:ascii="宋体" w:eastAsia="宋体" w:hAnsi="宋体" w:cs="宋体"/>
                <w:sz w:val="24"/>
                <w:szCs w:val="24"/>
              </w:rPr>
            </w:pPr>
            <w:r>
              <w:rPr>
                <w:rFonts w:ascii="宋体" w:eastAsia="宋体" w:hAnsi="宋体" w:cs="宋体"/>
                <w:b/>
                <w:bCs/>
                <w:spacing w:val="-15"/>
                <w:sz w:val="24"/>
                <w:szCs w:val="24"/>
              </w:rPr>
              <w:t>日期</w:t>
            </w:r>
          </w:p>
        </w:tc>
        <w:tc>
          <w:tcPr>
            <w:tcW w:w="1017"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6" w:line="221" w:lineRule="auto"/>
              <w:ind w:left="268"/>
              <w:textAlignment w:val="baseline"/>
              <w:rPr>
                <w:rFonts w:ascii="宋体" w:eastAsia="宋体" w:hAnsi="宋体" w:cs="宋体"/>
                <w:sz w:val="24"/>
                <w:szCs w:val="24"/>
              </w:rPr>
            </w:pPr>
            <w:r>
              <w:rPr>
                <w:rFonts w:ascii="宋体" w:eastAsia="宋体" w:hAnsi="宋体" w:cs="宋体"/>
                <w:b/>
                <w:bCs/>
                <w:spacing w:val="-5"/>
                <w:sz w:val="24"/>
                <w:szCs w:val="24"/>
              </w:rPr>
              <w:t>批准</w:t>
            </w:r>
          </w:p>
        </w:tc>
        <w:tc>
          <w:tcPr>
            <w:tcW w:w="1271"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41"/>
              <w:textAlignment w:val="baseline"/>
              <w:rPr>
                <w:rFonts w:ascii="宋体" w:eastAsia="宋体" w:hAnsi="宋体" w:cs="宋体"/>
                <w:sz w:val="24"/>
                <w:szCs w:val="24"/>
              </w:rPr>
            </w:pPr>
            <w:r>
              <w:rPr>
                <w:rFonts w:ascii="宋体" w:eastAsia="宋体" w:hAnsi="宋体" w:cs="宋体"/>
                <w:b/>
                <w:bCs/>
                <w:spacing w:val="-15"/>
                <w:sz w:val="24"/>
                <w:szCs w:val="24"/>
              </w:rPr>
              <w:t>日期</w:t>
            </w:r>
          </w:p>
        </w:tc>
        <w:tc>
          <w:tcPr>
            <w:tcW w:w="1383" w:type="dxa"/>
            <w:vMerge/>
            <w:tcBorders>
              <w:top w:val="nil"/>
              <w:right w:val="single" w:sz="10" w:space="0" w:color="000000"/>
            </w:tcBorders>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tblPrEx>
          <w:tblW w:w="9005" w:type="dxa"/>
          <w:tblInd w:w="34" w:type="dxa"/>
          <w:tblLayout w:type="fixed"/>
          <w:tblCellMar>
            <w:top w:w="0" w:type="dxa"/>
            <w:left w:w="0" w:type="dxa"/>
            <w:bottom w:w="0" w:type="dxa"/>
            <w:right w:w="0" w:type="dxa"/>
          </w:tblCellMar>
        </w:tblPrEx>
        <w:trPr>
          <w:trHeight w:val="651"/>
        </w:trPr>
        <w:tc>
          <w:tcPr>
            <w:tcW w:w="845" w:type="dxa"/>
            <w:tcBorders>
              <w:lef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95"/>
              <w:textAlignment w:val="baseline"/>
            </w:pPr>
            <w:r>
              <w:rPr>
                <w:spacing w:val="-1"/>
              </w:rPr>
              <w:t>V1.0</w:t>
            </w:r>
          </w:p>
        </w:tc>
        <w:tc>
          <w:tcPr>
            <w:tcW w:w="88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25"/>
              <w:textAlignment w:val="baseline"/>
            </w:pPr>
            <w:r>
              <w:rPr>
                <w:spacing w:val="-4"/>
              </w:rPr>
              <w:t>赵川华</w:t>
            </w:r>
          </w:p>
        </w:tc>
        <w:tc>
          <w:tcPr>
            <w:tcW w:w="1274"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04"/>
              <w:textAlignment w:val="baseline"/>
            </w:pPr>
            <w:r>
              <w:rPr>
                <w:spacing w:val="-1"/>
              </w:rPr>
              <w:t>2025.7.7</w:t>
            </w:r>
          </w:p>
        </w:tc>
        <w:tc>
          <w:tcPr>
            <w:tcW w:w="95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68"/>
              <w:textAlignment w:val="baseline"/>
            </w:pPr>
            <w:r>
              <w:rPr>
                <w:spacing w:val="-4"/>
              </w:rPr>
              <w:t>张智宏</w:t>
            </w:r>
          </w:p>
        </w:tc>
        <w:tc>
          <w:tcPr>
            <w:tcW w:w="137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61"/>
              <w:textAlignment w:val="baseline"/>
            </w:pPr>
            <w:r>
              <w:rPr>
                <w:spacing w:val="-1"/>
              </w:rPr>
              <w:t>2025.7.7</w:t>
            </w:r>
          </w:p>
        </w:tc>
        <w:tc>
          <w:tcPr>
            <w:tcW w:w="101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20" w:lineRule="auto"/>
              <w:ind w:left="202"/>
              <w:textAlignment w:val="baseline"/>
            </w:pPr>
            <w:r>
              <w:rPr>
                <w:spacing w:val="-3"/>
              </w:rPr>
              <w:t>陈垒</w:t>
            </w:r>
          </w:p>
        </w:tc>
        <w:tc>
          <w:tcPr>
            <w:tcW w:w="127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220"/>
              <w:textAlignment w:val="baseline"/>
            </w:pPr>
            <w:r>
              <w:rPr>
                <w:spacing w:val="-1"/>
              </w:rPr>
              <w:t>2025.7.7</w:t>
            </w:r>
          </w:p>
        </w:tc>
        <w:tc>
          <w:tcPr>
            <w:tcW w:w="1383" w:type="dxa"/>
            <w:tcBorders>
              <w:righ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17" w:lineRule="auto"/>
              <w:ind w:left="341"/>
              <w:textAlignment w:val="baseline"/>
            </w:pPr>
            <w:r>
              <w:rPr>
                <w:spacing w:val="-5"/>
              </w:rPr>
              <w:t>首次发布</w:t>
            </w:r>
          </w:p>
        </w:tc>
      </w:tr>
      <w:tr>
        <w:tblPrEx>
          <w:tblW w:w="9005" w:type="dxa"/>
          <w:tblInd w:w="34" w:type="dxa"/>
          <w:tblLayout w:type="fixed"/>
          <w:tblCellMar>
            <w:top w:w="0" w:type="dxa"/>
            <w:left w:w="0" w:type="dxa"/>
            <w:bottom w:w="0" w:type="dxa"/>
            <w:right w:w="0" w:type="dxa"/>
          </w:tblCellMar>
        </w:tblPrEx>
        <w:trPr>
          <w:trHeight w:val="485"/>
        </w:trPr>
        <w:tc>
          <w:tcPr>
            <w:tcW w:w="845" w:type="dxa"/>
            <w:tcBorders>
              <w:lef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195"/>
              <w:textAlignment w:val="baseline"/>
            </w:pPr>
          </w:p>
        </w:tc>
        <w:tc>
          <w:tcPr>
            <w:tcW w:w="88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25"/>
              <w:textAlignment w:val="baseline"/>
            </w:pPr>
          </w:p>
        </w:tc>
        <w:tc>
          <w:tcPr>
            <w:tcW w:w="1274"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10"/>
              <w:textAlignment w:val="baseline"/>
            </w:pPr>
          </w:p>
        </w:tc>
        <w:tc>
          <w:tcPr>
            <w:tcW w:w="95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68"/>
              <w:textAlignment w:val="baseline"/>
            </w:pPr>
          </w:p>
        </w:tc>
        <w:tc>
          <w:tcPr>
            <w:tcW w:w="137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67"/>
              <w:textAlignment w:val="baseline"/>
            </w:pPr>
          </w:p>
        </w:tc>
        <w:tc>
          <w:tcPr>
            <w:tcW w:w="101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20" w:lineRule="auto"/>
              <w:ind w:left="202"/>
              <w:textAlignment w:val="baseline"/>
            </w:pPr>
          </w:p>
        </w:tc>
        <w:tc>
          <w:tcPr>
            <w:tcW w:w="127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20"/>
              <w:textAlignment w:val="baseline"/>
            </w:pPr>
          </w:p>
        </w:tc>
        <w:tc>
          <w:tcPr>
            <w:tcW w:w="1383" w:type="dxa"/>
            <w:tcBorders>
              <w:righ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436"/>
              <w:textAlignment w:val="baseline"/>
            </w:pPr>
          </w:p>
        </w:tc>
      </w:tr>
      <w:tr>
        <w:tblPrEx>
          <w:tblW w:w="9005" w:type="dxa"/>
          <w:tblInd w:w="34" w:type="dxa"/>
          <w:tblLayout w:type="fixed"/>
          <w:tblCellMar>
            <w:top w:w="0" w:type="dxa"/>
            <w:left w:w="0" w:type="dxa"/>
            <w:bottom w:w="0" w:type="dxa"/>
            <w:right w:w="0" w:type="dxa"/>
          </w:tblCellMar>
        </w:tblPrEx>
        <w:trPr>
          <w:trHeight w:val="503"/>
        </w:trPr>
        <w:tc>
          <w:tcPr>
            <w:tcW w:w="845" w:type="dxa"/>
            <w:tcBorders>
              <w:left w:val="single" w:sz="10" w:space="0" w:color="000000"/>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195"/>
              <w:textAlignment w:val="baseline"/>
            </w:pPr>
          </w:p>
        </w:tc>
        <w:tc>
          <w:tcPr>
            <w:tcW w:w="881"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125"/>
              <w:textAlignment w:val="baseline"/>
            </w:pPr>
          </w:p>
        </w:tc>
        <w:tc>
          <w:tcPr>
            <w:tcW w:w="1274"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10"/>
              <w:textAlignment w:val="baseline"/>
            </w:pPr>
          </w:p>
        </w:tc>
        <w:tc>
          <w:tcPr>
            <w:tcW w:w="957"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18" w:lineRule="auto"/>
              <w:ind w:left="164"/>
              <w:textAlignment w:val="baseline"/>
            </w:pPr>
          </w:p>
        </w:tc>
        <w:tc>
          <w:tcPr>
            <w:tcW w:w="1377"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67"/>
              <w:textAlignment w:val="baseline"/>
            </w:pPr>
          </w:p>
        </w:tc>
        <w:tc>
          <w:tcPr>
            <w:tcW w:w="1017"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20" w:lineRule="auto"/>
              <w:ind w:left="202"/>
              <w:textAlignment w:val="baseline"/>
            </w:pPr>
          </w:p>
        </w:tc>
        <w:tc>
          <w:tcPr>
            <w:tcW w:w="1271"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20"/>
              <w:textAlignment w:val="baseline"/>
            </w:pPr>
          </w:p>
        </w:tc>
        <w:tc>
          <w:tcPr>
            <w:tcW w:w="1383" w:type="dxa"/>
            <w:tcBorders>
              <w:bottom w:val="single" w:sz="10" w:space="0" w:color="000000"/>
              <w:righ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436"/>
              <w:textAlignment w:val="baseline"/>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运行维护服务能力管理</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策划</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为对运行维护服务进行整体策划并提供必要的资源支持，确保公司具备提供运维服务的能力，主要从以下方面进行策划：</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基于公司发展战略，领导层每年制定年度运维业务发展目标，结合公司业务能力范围，形成运维战略发展相关文件并下发至相关部门。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运维部经理每年年初根据公司业务战略规划，制定《年度运维服务能力管理计划》。</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主管运维业务的分管领导根据公司年度总体规划及《年度运维服务能力管理计划》，协调相关部门落实运维服务要素（人员、资源、技术、过程</w:t>
      </w:r>
      <w:r>
        <w:rPr>
          <w:rFonts w:hint="eastAsia"/>
          <w:lang w:val="en-US" w:eastAsia="zh-CN"/>
        </w:rPr>
        <w:t>、交付和应急</w:t>
      </w:r>
      <w:r>
        <w:rPr>
          <w:rFonts w:hint="default"/>
          <w:lang w:val="en-US" w:eastAsia="zh-CN"/>
        </w:rPr>
        <w:t>）的工作安排与职责。</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实施</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各部门根据整体能力管理计划制定并实施满足整体策划的实施计划。</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按服务能力要求实施管理活动并做好记录，确保服务能力管理与服务过程可追溯，服务结果可计量或可评估。</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提交满足质量要求的交付物，如服务质量报告、服务管理计划实施结果或总结报告。</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检查</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实施计划编制与执行部门对计划进行监督与跟踪，形成计划执行结果报告。</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质量部对运维服务管理相关计划履行监督职责，定期检查各部门计划执行与落实情况。</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质量部</w:t>
      </w:r>
      <w:r>
        <w:rPr>
          <w:rFonts w:hint="default"/>
          <w:lang w:val="en-US" w:eastAsia="zh-CN"/>
        </w:rPr>
        <w:t>检查运维计划（人员、资源、过程、技术</w:t>
      </w:r>
      <w:r>
        <w:rPr>
          <w:rFonts w:hint="eastAsia"/>
          <w:lang w:val="en-US" w:eastAsia="zh-CN"/>
        </w:rPr>
        <w:t>、交付和应急</w:t>
      </w:r>
      <w:r>
        <w:rPr>
          <w:rFonts w:hint="default"/>
          <w:lang w:val="en-US" w:eastAsia="zh-CN"/>
        </w:rPr>
        <w:t>）执行情况，跟踪改进结果，并及时上报主管运维业务的分管领导。</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改进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每年主管运维业务的分管领导对计划执行中出现的问题进行协调，形成改进措施。</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公司领导层每年召开年度总结会，对运维服务目标进行总结并提出改进建议。</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对未达成的指标进行调查分析，形成调查分析报告或记录，并根据当年计划执行情况制定下一年度运维管理计划。</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客户沟通管理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为保障服务质量、持续提升客户满意度，公司与客户建立良好的沟通协调机制：</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运维部领导每年至少拜访客户一次（通常在年底），了解客户满意度与潜在需求，介绍公司主要产品，捕捉商业机会，获取改进建议，并对拜访结果进行分析总结，持续改进服务质量。</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双方达成一致意见后，必要时形成正式会议纪要。</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运维服务管理体系的维护</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运维服务管理体系由公司</w:t>
      </w:r>
      <w:r>
        <w:rPr>
          <w:rFonts w:hint="eastAsia"/>
          <w:lang w:val="en-US" w:eastAsia="zh-CN"/>
        </w:rPr>
        <w:t>质量部</w:t>
      </w:r>
      <w:r>
        <w:rPr>
          <w:rFonts w:hint="default"/>
          <w:lang w:val="en-US" w:eastAsia="zh-CN"/>
        </w:rPr>
        <w:t>统一策划，并根据内审与管理评审结果进行更新与维护。</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运维部负责体系日常执行，</w:t>
      </w:r>
      <w:r>
        <w:rPr>
          <w:rFonts w:hint="eastAsia"/>
          <w:lang w:val="en-US" w:eastAsia="zh-CN"/>
        </w:rPr>
        <w:t>质量部</w:t>
      </w:r>
      <w:r>
        <w:rPr>
          <w:rFonts w:hint="default"/>
          <w:lang w:val="en-US" w:eastAsia="zh-CN"/>
        </w:rPr>
        <w:t>负责监督与检查；公司级质量管理员定期检查运维部质量管理员日常工作。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w:t>
      </w:r>
      <w:r>
        <w:rPr>
          <w:rFonts w:hint="eastAsia"/>
          <w:lang w:val="en-US" w:eastAsia="zh-CN"/>
        </w:rPr>
        <w:t>质量部</w:t>
      </w:r>
      <w:r>
        <w:rPr>
          <w:rFonts w:hint="default"/>
          <w:lang w:val="en-US" w:eastAsia="zh-CN"/>
        </w:rPr>
        <w:t>每年至少组织一次内审与管理评审活动，收集改进建议并纳入体系改进计划，持续更新与维护体系。</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质量管理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依据相关质量管理规定，每年需至少进行一次内审，要求覆盖运维服务相关所有部门。人力资源部与质量部及时与其他运维部门沟通确认审核时间，并要求运维服务相关部门及时提供审核材料。</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每年需至少进行一次管理评审，审核内容包括人力、资源、技术、过程、交付和应急的运维情况等。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每年需至少进行一次满意度调查，</w:t>
      </w:r>
      <w:bookmarkStart w:id="0" w:name="_GoBack"/>
      <w:bookmarkEnd w:id="0"/>
      <w:r>
        <w:rPr>
          <w:rFonts w:hint="eastAsia"/>
          <w:lang w:val="en-US" w:eastAsia="zh-CN"/>
        </w:rPr>
        <w:t>采取随机发放满意度调查问卷的方式开展。保证满意度调查的随机性和客户覆盖率</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人员、资源、技术</w:t>
      </w:r>
      <w:r>
        <w:rPr>
          <w:rFonts w:hint="eastAsia"/>
          <w:lang w:val="en-US" w:eastAsia="zh-CN"/>
        </w:rPr>
        <w:t>、</w:t>
      </w:r>
      <w:r>
        <w:rPr>
          <w:rFonts w:hint="default"/>
          <w:lang w:val="en-US" w:eastAsia="zh-CN"/>
        </w:rPr>
        <w:t>过程</w:t>
      </w:r>
      <w:r>
        <w:rPr>
          <w:rFonts w:hint="eastAsia"/>
          <w:lang w:val="en-US" w:eastAsia="zh-CN"/>
        </w:rPr>
        <w:t>、交付和应急</w:t>
      </w:r>
      <w:r>
        <w:rPr>
          <w:rFonts w:hint="default"/>
          <w:lang w:val="en-US" w:eastAsia="zh-CN"/>
        </w:rPr>
        <w:t>管理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为保障服务质量，不断提高客户满意度，系统运维部从人员、资源、过程</w:t>
      </w:r>
      <w:r>
        <w:rPr>
          <w:rFonts w:hint="eastAsia"/>
          <w:lang w:val="en-US" w:eastAsia="zh-CN"/>
        </w:rPr>
        <w:t>、</w:t>
      </w:r>
      <w:r>
        <w:rPr>
          <w:rFonts w:hint="default"/>
          <w:lang w:val="en-US" w:eastAsia="zh-CN"/>
        </w:rPr>
        <w:t>技术</w:t>
      </w:r>
      <w:r>
        <w:rPr>
          <w:rFonts w:hint="eastAsia"/>
          <w:lang w:val="en-US" w:eastAsia="zh-CN"/>
        </w:rPr>
        <w:t>、交付和应急</w:t>
      </w:r>
      <w:r>
        <w:rPr>
          <w:rFonts w:hint="default"/>
          <w:lang w:val="en-US" w:eastAsia="zh-CN"/>
        </w:rPr>
        <w:t>方面策划服务并制定具体工作计划。</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人员管理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运维岗位结构与职责由运维部与</w:t>
      </w:r>
      <w:r>
        <w:rPr>
          <w:rFonts w:hint="eastAsia"/>
          <w:lang w:val="en-US" w:eastAsia="zh-CN"/>
        </w:rPr>
        <w:t>人力资源部</w:t>
      </w:r>
      <w:r>
        <w:rPr>
          <w:rFonts w:hint="default"/>
          <w:lang w:val="en-US" w:eastAsia="zh-CN"/>
        </w:rPr>
        <w:t>共同制定，运维部负责维护与更新，详见《</w:t>
      </w:r>
      <w:r>
        <w:rPr>
          <w:rFonts w:hint="eastAsia"/>
          <w:lang w:val="en-US" w:eastAsia="zh-CN"/>
        </w:rPr>
        <w:t>岗位职责说明书</w:t>
      </w:r>
      <w:r>
        <w:rPr>
          <w:rFonts w:hint="default"/>
          <w:lang w:val="en-US" w:eastAsia="zh-CN"/>
        </w:rPr>
        <w:t>》。</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运维人员绩效考核由运维部根据公司人力资源评价制度进行管理</w:t>
      </w:r>
      <w:r>
        <w:rPr>
          <w:rFonts w:hint="eastAsia"/>
          <w:lang w:val="en-US" w:eastAsia="zh-CN"/>
        </w:rPr>
        <w:t>制度</w:t>
      </w:r>
      <w:r>
        <w:rPr>
          <w:rFonts w:hint="default"/>
          <w:lang w:val="en-US" w:eastAsia="zh-CN"/>
        </w:rPr>
        <w:t>实施考核。</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运维部根据业务与人员发展需要，制定不同级别运维人员的知识水平要求，建立知识等级与能力等级评价制度。</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运维部每年更新运维人员经验至《运维人员履历表》。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运维岗位包括管理岗、技术支持岗、操作岗（初级、中级、高级工程师等），储备岗位主要用于初级工程师基础资源储备。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储备方式包括资源池在岗储备与脱岗储备。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运维模式包括驻场、（远程+现场）两种。驻场工程师实时监控客户现场；远程+现场模式由服务台受理，需要时派驻现场工程师支持。</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运维人员培训按公司培训管理制度执行，运维部根据工作需要开展相关培训</w:t>
      </w:r>
      <w:r>
        <w:rPr>
          <w:rFonts w:hint="eastAsia"/>
          <w:lang w:val="en-US" w:eastAsia="zh-CN"/>
        </w:rPr>
        <w:t>，由质量部进行监督</w:t>
      </w:r>
      <w:r>
        <w:rPr>
          <w:rFonts w:hint="default"/>
          <w:lang w:val="en-US" w:eastAsia="zh-CN"/>
        </w:rPr>
        <w:t>。</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运维部每年制定运维人力资源计划，包括人力资源现状与需求分析、招聘管理、储备管理及培训管理等内容。</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资源管理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服务知识</w:t>
      </w:r>
      <w:r>
        <w:rPr>
          <w:rFonts w:hint="default"/>
          <w:lang w:val="en-US" w:eastAsia="zh-CN"/>
        </w:rPr>
        <w:t>管理：由运维部建立并维护，为公司资产库，提供常见问题解答、服务经验分享、工具下载等内容，按《</w:t>
      </w:r>
      <w:r>
        <w:rPr>
          <w:rFonts w:hint="eastAsia"/>
          <w:lang w:val="en-US" w:eastAsia="zh-CN"/>
        </w:rPr>
        <w:t>服务知识</w:t>
      </w:r>
      <w:r>
        <w:rPr>
          <w:rFonts w:hint="default"/>
          <w:lang w:val="en-US" w:eastAsia="zh-CN"/>
        </w:rPr>
        <w:t>管理制度》管理。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备件库管理：由采购部建立实体与虚拟备件库，运维工程师可通过服务台查看备件信息，按《备件管理制度》管理。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运维工具管理：由运维部负责建立与实施，运维人员可通过工具列表了解工具情况与使用说明，监控工具参数根据客户需求与监控指标体系配置。</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服务台管理：设立在运维部，统一受理故障上报与服务请求，按《服务台管理制度》执行。</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最终软件库管理：</w:t>
      </w:r>
      <w:r>
        <w:t>由运维部负责建立与维护，对公司所有软件版本、部署包及相关文档进行统一归档与管理，运维人员可通过软件库获取经批准的正式版本软件、历史版本记录及版本差异说明，软件的上架、版本控制与权限管理严格遵循《</w:t>
      </w:r>
      <w:r>
        <w:rPr>
          <w:rFonts w:hint="eastAsia"/>
          <w:lang w:val="en-US" w:eastAsia="zh-CN"/>
        </w:rPr>
        <w:t>最终软件库</w:t>
      </w:r>
      <w:r>
        <w:t>管理制度》执行。</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服务数据管理：</w:t>
      </w:r>
      <w:r>
        <w:t>由运维部负责建立与实施，对运维过程中产生的各类服务数据（包括但不限于事件记录、性能指标、变更历史、服务报告等）进行统一采集、存储与分析，运维人员与管理人员可通过数据分析平台查看实时状态、历史趋势及服务质量评价，服务数据的采集规范、存储周期及使用权限按《服务数据管理制度》执行。</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技术管理</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运维的技术研发</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运维部每年年初根据业务需要提出技术研发课题，包括市场分析与调研。</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研发课题经公司高层决策后纳入年度运维能力管理计划，由运维部负责实施。</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运维服务相关故障分析解决技术</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运维部组织运维工程师每年对运维过程中出现的故障进行分析，形成典型故障诊断手册。</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整理后录入</w:t>
      </w:r>
      <w:r>
        <w:rPr>
          <w:rFonts w:hint="eastAsia"/>
          <w:lang w:val="en-US" w:eastAsia="zh-CN"/>
        </w:rPr>
        <w:t>服务知识</w:t>
      </w:r>
      <w:r>
        <w:rPr>
          <w:rFonts w:hint="default"/>
          <w:lang w:val="en-US" w:eastAsia="zh-CN"/>
        </w:rPr>
        <w:t>，授权访问。</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根据需要调研市场检测工具或自主研发诊断工具，经评价确认后纳入运维服务工具管理库。</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过程管理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运维部与</w:t>
      </w:r>
      <w:r>
        <w:rPr>
          <w:rFonts w:hint="eastAsia"/>
          <w:lang w:val="en-US" w:eastAsia="zh-CN"/>
        </w:rPr>
        <w:t>质量部</w:t>
      </w:r>
      <w:r>
        <w:rPr>
          <w:rFonts w:hint="default"/>
          <w:lang w:val="en-US" w:eastAsia="zh-CN"/>
        </w:rPr>
        <w:t>建立</w:t>
      </w:r>
      <w:r>
        <w:rPr>
          <w:rFonts w:hint="eastAsia"/>
          <w:lang w:val="en-US" w:eastAsia="zh-CN"/>
        </w:rPr>
        <w:t>以下</w:t>
      </w:r>
      <w:r>
        <w:rPr>
          <w:rFonts w:hint="default"/>
          <w:lang w:val="en-US" w:eastAsia="zh-CN"/>
        </w:rPr>
        <w:t>运维服务过程：</w:t>
      </w:r>
      <w:r>
        <w:rPr>
          <w:rFonts w:hint="eastAsia"/>
          <w:lang w:val="en-US" w:eastAsia="zh-CN"/>
        </w:rPr>
        <w:t>过程框架管理、</w:t>
      </w:r>
      <w:r>
        <w:rPr>
          <w:rFonts w:hint="default"/>
          <w:lang w:val="en-US" w:eastAsia="zh-CN"/>
        </w:rPr>
        <w:t>服务级别管理、服务报告管理、事件管理、问题管理、变更管理</w:t>
      </w:r>
      <w:r>
        <w:rPr>
          <w:rFonts w:hint="eastAsia"/>
          <w:lang w:val="en-US" w:eastAsia="zh-CN"/>
        </w:rPr>
        <w:t>、</w:t>
      </w:r>
      <w:r>
        <w:rPr>
          <w:rFonts w:hint="default"/>
          <w:lang w:val="en-US" w:eastAsia="zh-CN"/>
        </w:rPr>
        <w:t>发布管理、配置管理、</w:t>
      </w:r>
      <w:r>
        <w:rPr>
          <w:rFonts w:hint="eastAsia"/>
          <w:lang w:val="en-US" w:eastAsia="zh-CN"/>
        </w:rPr>
        <w:t>服务可用性和连续性管理、容量管理、</w:t>
      </w:r>
      <w:r>
        <w:rPr>
          <w:rFonts w:hint="default"/>
          <w:lang w:val="en-US" w:eastAsia="zh-CN"/>
        </w:rPr>
        <w:t>信息安全管理，每年进行流程更新与新建。</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依据ITSS标准制定过程度量指标，目前已定义过程的指标，分组织级与项目级两个维度考核。</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流程日常检查由运维部质量管理员负责；年度体系内审与管评由</w:t>
      </w:r>
      <w:r>
        <w:rPr>
          <w:rFonts w:hint="eastAsia"/>
          <w:lang w:val="en-US" w:eastAsia="zh-CN"/>
        </w:rPr>
        <w:t>质量部</w:t>
      </w:r>
      <w:r>
        <w:rPr>
          <w:rFonts w:hint="default"/>
          <w:lang w:val="en-US" w:eastAsia="zh-CN"/>
        </w:rPr>
        <w:t>组织。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过程改进来源包括日常检查、SLA识别、内审与管理评审等，通过收集改进建议持续优化。</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建立过程度量KPI，积累基线数据，推动过程持续完善。</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交付管理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交付策划与标准：运维部负责制定并维护《服务交付管理规范》，明确各类服务（如日常运维、项目、专项服务）的交付物清单、交付标准、交付流程与交付时限，确保服务交付过程的一致性与可预期性。</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交付物管理：依据服务合同与方案，对服务报告、工作总结、技术文档、系统配置清单等交付物进行编制、审核、发布与归档。所有交付物需经相关质量控制环节，确保其准确性、完整性与规范性。</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交付验收与确认：建立服务交付验收机制。对于项目型服务或关键里程碑输出，需与客户或相关方共同进行交付验收，确认交付物符合约定要求，并签署《服务交付确认单》或类似记录。</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服务报告与回顾：定期（如月度、季度）向客户及内部管理层提交服务报告，汇总服务绩效、关键活动、事件分析及改进计划。定期召开服务回顾会议，沟通服务表现，收集反馈，并商定后续行动计划。</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客户满意度管理：将客户满意度作为交付质量的核心评价指标。通过定期调查、访谈等方式收集客户反馈，对不满意项进行分析与改进，持续提升服务体验与交付价值。</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应急管理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应急预案制定：运维部负责组织识别核心运维服务面临的潜在风险与重大故障场景，制定并维护《运维服务应急预案》，明确应急组织架构、职责分工、响应流程、沟通机制及恢复策略。</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应急组织与职责：成立应急响应小组，明确应急指挥、技术处理、沟通协调等角色与责任人。确保在紧急情况下能够迅速启动应急组织，有效指挥与协调资源。</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应急响应与处置：建立分级应急响应机制。事件发生时，根据预案确定的级别启动相应响应流程，优先进行故障隔离与业务恢复，最大限度减少对业务的影响。详细记录应急响应过程与处置措施。</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演练与培训：定期组织应急预案的演练与培训，确保相关人员熟悉应急流程与职责。对演练结果进行评估与总结，不断完善应急预案与响应能力。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应急资源保障：确保应急所需的备用资源（如备件、备用系统、应急通讯工具等）可用，并定期进行检查与测试。建立与外部支持单位（如供应商、合作伙伴）的应急联动机制。</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服务能力考核</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质量部和各运维服务部门依据相关的管理制度定期对各运维服务指标进行考核</w:t>
      </w: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table" w:customStyle="1" w:styleId="TableNormal1">
    <w:name w:val="Table Normal_1"/>
    <w:semiHidden/>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6</TotalTime>
  <Pages>8</Pages>
  <Words>3227</Words>
  <Characters>3301</Characters>
  <Application>Microsoft Office Word</Application>
  <DocSecurity>0</DocSecurity>
  <Lines>0</Lines>
  <Paragraphs>0</Paragraphs>
  <ScaleCrop>false</ScaleCrop>
  <Company/>
  <LinksUpToDate>false</LinksUpToDate>
  <CharactersWithSpaces>3301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18442</dc:creator>
  <cp:lastModifiedBy>郝宇</cp:lastModifiedBy>
  <cp:revision>0</cp:revision>
  <dcterms:created xsi:type="dcterms:W3CDTF">2025-09-06T12:49:00Z</dcterms:created>
  <dcterms:modified xsi:type="dcterms:W3CDTF">2025-12-24T03:52:20Z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0D32182671224755A6D4CE835A5A6EA6_12</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