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right="0" w:firstLine="0" w:leftChars="0" w:rightChars="0" w:firstLineChars="0"/>
        <w:jc w:val="center"/>
        <w:textAlignment w:val="baseline"/>
        <w:rPr>
          <w:rFonts w:hint="default"/>
          <w:lang w:val="en-US" w:eastAsia="zh-CN"/>
        </w:rPr>
      </w:pPr>
      <w:bookmarkStart w:id="0" w:name="_Toc3846"/>
      <w: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-1186815</wp:posOffset>
            </wp:positionH>
            <wp:positionV relativeFrom="paragraph">
              <wp:posOffset>30480</wp:posOffset>
            </wp:positionV>
            <wp:extent cx="7609840" cy="9761855"/>
            <wp:effectExtent l="0" t="0" r="10160" b="6985"/>
            <wp:wrapNone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7609840" cy="976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天津市华夏电缆有限公司</w:t>
      </w:r>
      <w:bookmarkEnd w:id="0"/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right="0" w:firstLine="0" w:leftChars="0" w:rightChars="0" w:firstLineChars="0"/>
        <w:jc w:val="center"/>
        <w:textAlignment w:val="baseline"/>
        <w:rPr>
          <w:rFonts w:hint="default"/>
          <w:lang w:val="en-US" w:eastAsia="zh-CN"/>
        </w:rPr>
      </w:pPr>
      <w:bookmarkStart w:id="1" w:name="_Toc1855"/>
      <w:r>
        <w:rPr>
          <w:rFonts w:hint="eastAsia"/>
          <w:lang w:val="en-US" w:eastAsia="zh-CN"/>
        </w:rPr>
        <w:t>运维服务能力管理报告</w:t>
      </w:r>
      <w:bookmarkEnd w:id="1"/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right="0" w:firstLine="0" w:leftChars="0" w:rightChars="0" w:firstLineChars="0"/>
        <w:jc w:val="center"/>
        <w:textAlignment w:val="baseline"/>
        <w:rPr>
          <w:rFonts w:hint="eastAsia"/>
          <w:lang w:val="en-US" w:eastAsia="zh-CN"/>
        </w:rPr>
      </w:pPr>
      <w:bookmarkStart w:id="2" w:name="_Toc11942"/>
      <w:r>
        <w:rPr>
          <w:rFonts w:hint="eastAsia"/>
          <w:lang w:val="en-US" w:eastAsia="zh-CN"/>
        </w:rPr>
        <w:t>（HXDL-ITSS-0304）</w:t>
      </w:r>
      <w:bookmarkEnd w:id="2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right="0" w:firstLine="0" w:leftChars="0" w:rightChars="0" w:firstLineChars="0"/>
        <w:jc w:val="center"/>
        <w:textAlignment w:val="baseline"/>
        <w:rPr>
          <w:rFonts w:hint="eastAsia"/>
          <w:lang w:val="en-US" w:eastAsia="zh-CN"/>
        </w:rPr>
      </w:pPr>
    </w:p>
    <w:tbl>
      <w:tblPr>
        <w:tblStyle w:val="TableGrid"/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>
        <w:tblPrEx>
          <w:tblW w:w="0" w:type="auto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181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李欣雨</w:t>
            </w:r>
          </w:p>
        </w:tc>
        <w:tc>
          <w:tcPr>
            <w:tcW w:w="4261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2025.70.31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1818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Arial" w:hAnsi="Arial" w:cs="Arial" w:hint="eastAsia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张智宏</w:t>
            </w:r>
          </w:p>
        </w:tc>
        <w:tc>
          <w:tcPr>
            <w:tcW w:w="4261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right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2025.70.31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  <w:jc w:val="center"/>
        </w:trPr>
        <w:tc>
          <w:tcPr>
            <w:tcW w:w="181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陈垒</w:t>
            </w:r>
          </w:p>
        </w:tc>
        <w:tc>
          <w:tcPr>
            <w:tcW w:w="4261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2025.70.31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8" w:line="220" w:lineRule="auto"/>
        <w:ind w:left="3195"/>
        <w:textAlignment w:val="baseline"/>
        <w:outlineLvl w:val="0"/>
        <w:rPr>
          <w:rFonts w:ascii="宋体" w:eastAsia="宋体" w:hAnsi="宋体" w:cs="宋体"/>
          <w:sz w:val="30"/>
          <w:szCs w:val="30"/>
        </w:rPr>
      </w:pPr>
      <w:bookmarkStart w:id="3" w:name="_Toc10536"/>
      <w:r>
        <w:rPr>
          <w:rFonts w:ascii="宋体" w:eastAsia="宋体" w:hAnsi="宋体" w:cs="宋体"/>
          <w:b/>
          <w:bCs/>
          <w:spacing w:val="-4"/>
          <w:sz w:val="30"/>
          <w:szCs w:val="30"/>
        </w:rPr>
        <w:t>文件编制和变更履历</w:t>
      </w:r>
      <w:bookmarkEnd w:id="3"/>
    </w:p>
    <w:tbl>
      <w:tblPr>
        <w:tblStyle w:val="TableNormal0"/>
        <w:tblW w:w="9005" w:type="dxa"/>
        <w:tblInd w:w="3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452"/>
        <w:gridCol w:w="1202"/>
      </w:tblGrid>
      <w:tr>
        <w:tblPrEx>
          <w:tblW w:w="9005" w:type="dxa"/>
          <w:tblInd w:w="34" w:type="dxa"/>
          <w:tbl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  <w:insideH w:val="single" w:sz="6" w:space="0" w:color="000000"/>
            <w:insideV w:val="single" w:sz="6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/>
        </w:trPr>
        <w:tc>
          <w:tcPr>
            <w:tcW w:w="845" w:type="dxa"/>
            <w:vMerge w:val="restart"/>
            <w:tcBorders>
              <w:top w:val="single" w:sz="10" w:space="0" w:color="000000"/>
              <w:left w:val="single" w:sz="10" w:space="0" w:color="000000"/>
              <w:bottom w:val="nil"/>
            </w:tcBorders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19" w:lineRule="auto"/>
              <w:ind w:left="172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sz="10" w:space="0" w:color="000000"/>
            </w:tcBorders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528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sz="10" w:space="0" w:color="000000"/>
            </w:tcBorders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19" w:lineRule="auto"/>
              <w:ind w:left="927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469" w:type="dxa"/>
            <w:gridSpan w:val="2"/>
            <w:tcBorders>
              <w:top w:val="single" w:sz="10" w:space="0" w:color="000000"/>
            </w:tcBorders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911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202" w:type="dxa"/>
            <w:vMerge w:val="restart"/>
            <w:tcBorders>
              <w:top w:val="single" w:sz="10" w:space="0" w:color="000000"/>
              <w:bottom w:val="nil"/>
              <w:right w:val="single" w:sz="10" w:space="0" w:color="000000"/>
            </w:tcBorders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217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>
        <w:tblPrEx>
          <w:tblW w:w="9005" w:type="dxa"/>
          <w:tblInd w:w="3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/>
        </w:trPr>
        <w:tc>
          <w:tcPr>
            <w:tcW w:w="845" w:type="dxa"/>
            <w:vMerge/>
            <w:tcBorders>
              <w:top w:val="nil"/>
              <w:left w:val="single" w:sz="10" w:space="0" w:color="000000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191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30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244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87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1" w:lineRule="auto"/>
              <w:ind w:left="268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452" w:type="dxa"/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41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202" w:type="dxa"/>
            <w:vMerge/>
            <w:tcBorders>
              <w:top w:val="nil"/>
              <w:right w:val="single" w:sz="10" w:space="0" w:color="000000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  <w:tr>
        <w:tblPrEx>
          <w:tblW w:w="9005" w:type="dxa"/>
          <w:tblInd w:w="3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/>
        </w:trPr>
        <w:tc>
          <w:tcPr>
            <w:tcW w:w="845" w:type="dxa"/>
            <w:tcBorders>
              <w:left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95"/>
              <w:textAlignment w:val="baseline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25"/>
              <w:textAlignment w:val="baseline"/>
            </w:pPr>
            <w:r>
              <w:rPr>
                <w:rFonts w:hint="eastAsia"/>
                <w:u w:val="none"/>
                <w:vertAlign w:val="baseline"/>
                <w:lang w:val="en-US" w:eastAsia="zh-CN"/>
              </w:rPr>
              <w:t>李欣雨</w:t>
            </w:r>
          </w:p>
        </w:tc>
        <w:tc>
          <w:tcPr>
            <w:tcW w:w="1274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04"/>
              <w:textAlignment w:val="baseline"/>
              <w:rPr>
                <w:rFonts w:eastAsia="宋体" w:hint="default"/>
                <w:lang w:val="en-US" w:eastAsia="zh-CN"/>
              </w:rPr>
            </w:pPr>
            <w:r>
              <w:rPr>
                <w:spacing w:val="-1"/>
              </w:rPr>
              <w:t>2025.7</w:t>
            </w:r>
            <w:r>
              <w:rPr>
                <w:rFonts w:hint="eastAsia"/>
                <w:spacing w:val="-1"/>
                <w:lang w:val="en-US" w:eastAsia="zh-CN"/>
              </w:rPr>
              <w:t>0</w:t>
            </w:r>
            <w:r>
              <w:rPr>
                <w:spacing w:val="-1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31</w:t>
            </w:r>
          </w:p>
        </w:tc>
        <w:tc>
          <w:tcPr>
            <w:tcW w:w="95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68"/>
              <w:textAlignment w:val="baseline"/>
            </w:pPr>
            <w:r>
              <w:rPr>
                <w:spacing w:val="-4"/>
              </w:rPr>
              <w:t>张智宏</w:t>
            </w:r>
          </w:p>
        </w:tc>
        <w:tc>
          <w:tcPr>
            <w:tcW w:w="137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61"/>
              <w:textAlignment w:val="baseline"/>
            </w:pPr>
            <w:r>
              <w:rPr>
                <w:spacing w:val="-1"/>
              </w:rPr>
              <w:t>2025.7</w:t>
            </w:r>
            <w:r>
              <w:rPr>
                <w:rFonts w:hint="eastAsia"/>
                <w:spacing w:val="-1"/>
                <w:lang w:val="en-US" w:eastAsia="zh-CN"/>
              </w:rPr>
              <w:t>0</w:t>
            </w:r>
            <w:r>
              <w:rPr>
                <w:spacing w:val="-1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31</w:t>
            </w:r>
          </w:p>
        </w:tc>
        <w:tc>
          <w:tcPr>
            <w:tcW w:w="10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20" w:lineRule="auto"/>
              <w:ind w:left="202"/>
              <w:textAlignment w:val="baseline"/>
            </w:pPr>
            <w:r>
              <w:rPr>
                <w:spacing w:val="-3"/>
              </w:rPr>
              <w:t>陈垒</w:t>
            </w:r>
          </w:p>
        </w:tc>
        <w:tc>
          <w:tcPr>
            <w:tcW w:w="145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220"/>
              <w:textAlignment w:val="baseline"/>
            </w:pPr>
            <w:r>
              <w:rPr>
                <w:spacing w:val="-1"/>
              </w:rPr>
              <w:t>2025.7</w:t>
            </w:r>
            <w:r>
              <w:rPr>
                <w:rFonts w:hint="eastAsia"/>
                <w:spacing w:val="-1"/>
                <w:lang w:val="en-US" w:eastAsia="zh-CN"/>
              </w:rPr>
              <w:t>0</w:t>
            </w:r>
            <w:r>
              <w:rPr>
                <w:spacing w:val="-1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31</w:t>
            </w:r>
          </w:p>
        </w:tc>
        <w:tc>
          <w:tcPr>
            <w:tcW w:w="1202" w:type="dxa"/>
            <w:tcBorders>
              <w:right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7" w:lineRule="auto"/>
              <w:ind w:left="341"/>
              <w:textAlignment w:val="baseline"/>
            </w:pPr>
            <w:r>
              <w:rPr>
                <w:spacing w:val="-5"/>
              </w:rPr>
              <w:t>首次发布</w:t>
            </w:r>
          </w:p>
        </w:tc>
      </w:tr>
      <w:tr>
        <w:tblPrEx>
          <w:tblW w:w="9005" w:type="dxa"/>
          <w:tblInd w:w="3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/>
        </w:trPr>
        <w:tc>
          <w:tcPr>
            <w:tcW w:w="845" w:type="dxa"/>
            <w:tcBorders>
              <w:left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195"/>
              <w:textAlignment w:val="baseline"/>
            </w:pPr>
          </w:p>
        </w:tc>
        <w:tc>
          <w:tcPr>
            <w:tcW w:w="881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25"/>
              <w:textAlignment w:val="baseline"/>
            </w:pPr>
          </w:p>
        </w:tc>
        <w:tc>
          <w:tcPr>
            <w:tcW w:w="1274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10"/>
              <w:textAlignment w:val="baseline"/>
            </w:pPr>
          </w:p>
        </w:tc>
        <w:tc>
          <w:tcPr>
            <w:tcW w:w="95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68"/>
              <w:textAlignment w:val="baseline"/>
            </w:pPr>
          </w:p>
        </w:tc>
        <w:tc>
          <w:tcPr>
            <w:tcW w:w="137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67"/>
              <w:textAlignment w:val="baseline"/>
            </w:pPr>
          </w:p>
        </w:tc>
        <w:tc>
          <w:tcPr>
            <w:tcW w:w="10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20" w:lineRule="auto"/>
              <w:ind w:left="202"/>
              <w:textAlignment w:val="baseline"/>
            </w:pPr>
          </w:p>
        </w:tc>
        <w:tc>
          <w:tcPr>
            <w:tcW w:w="145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20"/>
              <w:textAlignment w:val="baseline"/>
            </w:pPr>
          </w:p>
        </w:tc>
        <w:tc>
          <w:tcPr>
            <w:tcW w:w="1202" w:type="dxa"/>
            <w:tcBorders>
              <w:right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436"/>
              <w:textAlignment w:val="baseline"/>
            </w:pPr>
          </w:p>
        </w:tc>
      </w:tr>
      <w:tr>
        <w:tblPrEx>
          <w:tblW w:w="9005" w:type="dxa"/>
          <w:tblInd w:w="3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/>
        </w:trPr>
        <w:tc>
          <w:tcPr>
            <w:tcW w:w="845" w:type="dxa"/>
            <w:tcBorders>
              <w:left w:val="single" w:sz="10" w:space="0" w:color="000000"/>
              <w:bottom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195"/>
              <w:textAlignment w:val="baseline"/>
            </w:pPr>
          </w:p>
        </w:tc>
        <w:tc>
          <w:tcPr>
            <w:tcW w:w="881" w:type="dxa"/>
            <w:tcBorders>
              <w:bottom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125"/>
              <w:textAlignment w:val="baseline"/>
            </w:pPr>
          </w:p>
        </w:tc>
        <w:tc>
          <w:tcPr>
            <w:tcW w:w="1274" w:type="dxa"/>
            <w:tcBorders>
              <w:bottom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10"/>
              <w:textAlignment w:val="baseline"/>
            </w:pPr>
          </w:p>
        </w:tc>
        <w:tc>
          <w:tcPr>
            <w:tcW w:w="957" w:type="dxa"/>
            <w:tcBorders>
              <w:bottom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8" w:lineRule="auto"/>
              <w:ind w:left="164"/>
              <w:textAlignment w:val="baseline"/>
            </w:pPr>
          </w:p>
        </w:tc>
        <w:tc>
          <w:tcPr>
            <w:tcW w:w="1377" w:type="dxa"/>
            <w:tcBorders>
              <w:bottom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67"/>
              <w:textAlignment w:val="baseline"/>
            </w:pPr>
          </w:p>
        </w:tc>
        <w:tc>
          <w:tcPr>
            <w:tcW w:w="1017" w:type="dxa"/>
            <w:tcBorders>
              <w:bottom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20" w:lineRule="auto"/>
              <w:ind w:left="202"/>
              <w:textAlignment w:val="baseline"/>
            </w:pPr>
          </w:p>
        </w:tc>
        <w:tc>
          <w:tcPr>
            <w:tcW w:w="1452" w:type="dxa"/>
            <w:tcBorders>
              <w:bottom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20"/>
              <w:textAlignment w:val="baseline"/>
            </w:pPr>
          </w:p>
        </w:tc>
        <w:tc>
          <w:tcPr>
            <w:tcW w:w="1202" w:type="dxa"/>
            <w:tcBorders>
              <w:bottom w:val="single" w:sz="10" w:space="0" w:color="000000"/>
              <w:right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436"/>
              <w:textAlignment w:val="baseline"/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0" w:beforeLines="0" w:after="0" w:afterLines="0" w:line="240" w:lineRule="auto"/>
        <w:ind w:left="0" w:right="0" w:firstLine="0" w:leftChars="0" w:rightChars="0" w:firstLineChars="0"/>
        <w:jc w:val="center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ascii="宋体" w:eastAsia="宋体" w:hAnsi="宋体" w:cs="宋体" w:hint="eastAsia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textAlignment w:val="baseline"/>
            <w:rPr>
              <w:rFonts w:ascii="宋体" w:eastAsia="宋体" w:hAnsi="宋体" w:cs="宋体" w:hint="eastAsia"/>
              <w:sz w:val="24"/>
              <w:szCs w:val="24"/>
            </w:rPr>
          </w:pPr>
          <w:r>
            <w:rPr>
              <w:rFonts w:ascii="宋体" w:eastAsia="宋体" w:hAnsi="宋体" w:cs="宋体" w:hint="eastAsia"/>
              <w:sz w:val="24"/>
              <w:szCs w:val="24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 w:val="24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 w:val="24"/>
              <w:szCs w:val="24"/>
            </w:rPr>
            <w:instrText xml:space="preserve">TOC \o "1-3" \h \u </w:instrText>
          </w:r>
          <w:r>
            <w:rPr>
              <w:rFonts w:ascii="宋体" w:eastAsia="宋体" w:hAnsi="宋体" w:cs="宋体" w:hint="eastAsia"/>
              <w:sz w:val="24"/>
              <w:szCs w:val="24"/>
            </w:rPr>
            <w:fldChar w:fldCharType="separate"/>
          </w: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_Toc3846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天津市华夏电缆有限公司</w:t>
          </w:r>
          <w:r>
            <w:tab/>
          </w:r>
          <w:r>
            <w:fldChar w:fldCharType="begin"/>
          </w:r>
          <w:r>
            <w:instrText xml:space="preserve"> PAGEREF _Toc3846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_Toc1855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运维服务能力管理报告</w:t>
          </w:r>
          <w:r>
            <w:tab/>
          </w:r>
          <w:r>
            <w:fldChar w:fldCharType="begin"/>
          </w:r>
          <w:r>
            <w:instrText xml:space="preserve"> PAGEREF _Toc1855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_Toc11942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（HXDL-ITSS-0304）</w:t>
          </w:r>
          <w:r>
            <w:tab/>
          </w:r>
          <w:r>
            <w:fldChar w:fldCharType="begin"/>
          </w:r>
          <w:r>
            <w:instrText xml:space="preserve"> PAGEREF _Toc11942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_Toc10536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ascii="宋体" w:eastAsia="宋体" w:hAnsi="宋体" w:cs="宋体"/>
              <w:bCs/>
              <w:spacing w:val="-4"/>
              <w:szCs w:val="30"/>
            </w:rPr>
            <w:t>文件编制和变更履历</w:t>
          </w:r>
          <w:r>
            <w:tab/>
          </w:r>
          <w:r>
            <w:fldChar w:fldCharType="begin"/>
          </w:r>
          <w:r>
            <w:instrText xml:space="preserve"> PAGEREF _Toc10536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_Toc17587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rPr>
              <w:rFonts w:hint="eastAsia"/>
              <w:lang w:val="en-US" w:eastAsia="zh-CN"/>
            </w:rPr>
            <w:t>概述</w:t>
          </w:r>
          <w:r>
            <w:tab/>
          </w:r>
          <w:r>
            <w:fldChar w:fldCharType="begin"/>
          </w:r>
          <w:r>
            <w:instrText xml:space="preserve"> PAGEREF _Toc17587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_Toc31059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人员管理总结</w:t>
          </w:r>
          <w:r>
            <w:tab/>
          </w:r>
          <w:r>
            <w:fldChar w:fldCharType="begin"/>
          </w:r>
          <w:r>
            <w:instrText xml:space="preserve"> PAGEREF _Toc31059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_Toc3164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2.1. </w:t>
          </w:r>
          <w:r>
            <w:rPr>
              <w:rFonts w:hint="eastAsia"/>
              <w:lang w:val="en-US" w:eastAsia="zh-CN"/>
            </w:rPr>
            <w:t>招聘情况说明</w:t>
          </w:r>
          <w:r>
            <w:tab/>
          </w:r>
          <w:r>
            <w:fldChar w:fldCharType="begin"/>
          </w:r>
          <w:r>
            <w:instrText xml:space="preserve"> PAGEREF _Toc3164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_Toc11378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2.1.1. </w:t>
          </w:r>
          <w:r>
            <w:rPr>
              <w:rFonts w:hint="eastAsia"/>
              <w:lang w:val="en-US" w:eastAsia="zh-CN"/>
            </w:rPr>
            <w:t>招聘计划</w:t>
          </w:r>
          <w:r>
            <w:t>完成情况</w:t>
          </w:r>
          <w:r>
            <w:tab/>
          </w:r>
          <w:r>
            <w:fldChar w:fldCharType="begin"/>
          </w:r>
          <w:r>
            <w:instrText xml:space="preserve"> PAGEREF _Toc11378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_Toc15565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2.1.2. </w:t>
          </w:r>
          <w:r>
            <w:rPr>
              <w:rFonts w:hint="eastAsia"/>
              <w:lang w:val="en-US" w:eastAsia="zh-CN"/>
            </w:rPr>
            <w:t>招聘指标完成情况</w:t>
          </w:r>
          <w:r>
            <w:tab/>
          </w:r>
          <w:r>
            <w:fldChar w:fldCharType="begin"/>
          </w:r>
          <w:r>
            <w:instrText xml:space="preserve"> PAGEREF _Toc15565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_Toc1369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2.2. </w:t>
          </w:r>
          <w:r>
            <w:rPr>
              <w:rFonts w:hint="eastAsia"/>
              <w:lang w:val="en-US" w:eastAsia="zh-CN"/>
            </w:rPr>
            <w:t>储备情况说明</w:t>
          </w:r>
          <w:r>
            <w:tab/>
          </w:r>
          <w:r>
            <w:fldChar w:fldCharType="begin"/>
          </w:r>
          <w:r>
            <w:instrText xml:space="preserve"> PAGEREF _Toc1369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_Toc7313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2.2.1. </w:t>
          </w:r>
          <w:r>
            <w:rPr>
              <w:rFonts w:hint="eastAsia"/>
              <w:lang w:val="en-US" w:eastAsia="zh-CN"/>
            </w:rPr>
            <w:t>储备计划</w:t>
          </w:r>
          <w:r>
            <w:t>完成情况</w:t>
          </w:r>
          <w:r>
            <w:tab/>
          </w:r>
          <w:r>
            <w:fldChar w:fldCharType="begin"/>
          </w:r>
          <w:r>
            <w:instrText xml:space="preserve"> PAGEREF _Toc7313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_Toc11073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2.2.2. </w:t>
          </w:r>
          <w:r>
            <w:rPr>
              <w:rFonts w:hint="eastAsia"/>
              <w:lang w:val="en-US" w:eastAsia="zh-CN"/>
            </w:rPr>
            <w:t>储备指标</w:t>
          </w:r>
          <w:r>
            <w:t>完成情况</w:t>
          </w:r>
          <w:r>
            <w:tab/>
          </w:r>
          <w:r>
            <w:fldChar w:fldCharType="begin"/>
          </w:r>
          <w:r>
            <w:instrText xml:space="preserve"> PAGEREF _Toc11073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_Toc19798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2.3. </w:t>
          </w:r>
          <w:r>
            <w:rPr>
              <w:rFonts w:hint="eastAsia"/>
              <w:lang w:val="en-US" w:eastAsia="zh-CN"/>
            </w:rPr>
            <w:t>培训情况说明</w:t>
          </w:r>
          <w:r>
            <w:tab/>
          </w:r>
          <w:r>
            <w:fldChar w:fldCharType="begin"/>
          </w:r>
          <w:r>
            <w:instrText xml:space="preserve"> PAGEREF _Toc19798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_Toc23322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2.3.1. </w:t>
          </w:r>
          <w:r>
            <w:rPr>
              <w:rFonts w:hint="eastAsia"/>
              <w:lang w:val="en-US" w:eastAsia="zh-CN"/>
            </w:rPr>
            <w:t>培训计划完成情况</w:t>
          </w:r>
          <w:r>
            <w:tab/>
          </w:r>
          <w:r>
            <w:fldChar w:fldCharType="begin"/>
          </w:r>
          <w:r>
            <w:instrText xml:space="preserve"> PAGEREF _Toc23322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_Toc31353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2.3.2. </w:t>
          </w:r>
          <w:r>
            <w:rPr>
              <w:rFonts w:hint="eastAsia"/>
              <w:lang w:val="en-US" w:eastAsia="zh-CN"/>
            </w:rPr>
            <w:t>培训指标完成情况</w:t>
          </w:r>
          <w:r>
            <w:tab/>
          </w:r>
          <w:r>
            <w:fldChar w:fldCharType="begin"/>
          </w:r>
          <w:r>
            <w:instrText xml:space="preserve"> PAGEREF _Toc31353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_Toc5194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2.4. </w:t>
          </w:r>
          <w:r>
            <w:rPr>
              <w:rFonts w:hint="eastAsia"/>
              <w:lang w:val="en-US" w:eastAsia="zh-CN"/>
            </w:rPr>
            <w:t>备份情况说明</w:t>
          </w:r>
          <w:r>
            <w:tab/>
          </w:r>
          <w:r>
            <w:fldChar w:fldCharType="begin"/>
          </w:r>
          <w:r>
            <w:instrText xml:space="preserve"> PAGEREF _Toc5194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_Toc10560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2.4.1. </w:t>
          </w:r>
          <w:r>
            <w:rPr>
              <w:rFonts w:hint="eastAsia"/>
              <w:lang w:val="en-US" w:eastAsia="zh-CN"/>
            </w:rPr>
            <w:t>备份计划完成情况</w:t>
          </w:r>
          <w:r>
            <w:tab/>
          </w:r>
          <w:r>
            <w:fldChar w:fldCharType="begin"/>
          </w:r>
          <w:r>
            <w:instrText xml:space="preserve"> PAGEREF _Toc10560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_Toc9359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2.4.2. </w:t>
          </w:r>
          <w:r>
            <w:rPr>
              <w:rFonts w:hint="eastAsia"/>
              <w:lang w:val="en-US" w:eastAsia="zh-CN"/>
            </w:rPr>
            <w:t>备份指标完成情况</w:t>
          </w:r>
          <w:r>
            <w:tab/>
          </w:r>
          <w:r>
            <w:fldChar w:fldCharType="begin"/>
          </w:r>
          <w:r>
            <w:instrText xml:space="preserve"> PAGEREF _Toc9359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_Toc8121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2.5. </w:t>
          </w:r>
          <w:r>
            <w:rPr>
              <w:rFonts w:hint="eastAsia"/>
              <w:lang w:val="en-US" w:eastAsia="zh-CN"/>
            </w:rPr>
            <w:t>绩效考核情况说明</w:t>
          </w:r>
          <w:r>
            <w:tab/>
          </w:r>
          <w:r>
            <w:fldChar w:fldCharType="begin"/>
          </w:r>
          <w:r>
            <w:instrText xml:space="preserve"> PAGEREF _Toc8121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_Toc21481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2.5.1. </w:t>
          </w:r>
          <w:r>
            <w:rPr>
              <w:rFonts w:hint="eastAsia"/>
              <w:lang w:val="en-US" w:eastAsia="zh-CN"/>
            </w:rPr>
            <w:t>绩效考核完成情况</w:t>
          </w:r>
          <w:r>
            <w:tab/>
          </w:r>
          <w:r>
            <w:fldChar w:fldCharType="begin"/>
          </w:r>
          <w:r>
            <w:instrText xml:space="preserve"> PAGEREF _Toc21481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_Toc16259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2.5.2. </w:t>
          </w:r>
          <w:r>
            <w:rPr>
              <w:rFonts w:hint="eastAsia"/>
              <w:lang w:val="en-US" w:eastAsia="zh-CN"/>
            </w:rPr>
            <w:t>绩效考核指标达成情况</w:t>
          </w:r>
          <w:r>
            <w:tab/>
          </w:r>
          <w:r>
            <w:fldChar w:fldCharType="begin"/>
          </w:r>
          <w:r>
            <w:instrText xml:space="preserve"> PAGEREF _Toc16259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_Toc14501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2.6. </w:t>
          </w:r>
          <w:r>
            <w:rPr>
              <w:rFonts w:hint="eastAsia"/>
              <w:lang w:val="en-US" w:eastAsia="zh-CN"/>
            </w:rPr>
            <w:t>能力评价情况说明</w:t>
          </w:r>
          <w:r>
            <w:tab/>
          </w:r>
          <w:r>
            <w:fldChar w:fldCharType="begin"/>
          </w:r>
          <w:r>
            <w:instrText xml:space="preserve"> PAGEREF _Toc14501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_Toc23582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2.6.1. </w:t>
          </w:r>
          <w:r>
            <w:rPr>
              <w:rFonts w:hint="eastAsia"/>
              <w:lang w:val="en-US" w:eastAsia="zh-CN"/>
            </w:rPr>
            <w:t>技能评价完成情况</w:t>
          </w:r>
          <w:r>
            <w:tab/>
          </w:r>
          <w:r>
            <w:fldChar w:fldCharType="begin"/>
          </w:r>
          <w:r>
            <w:instrText xml:space="preserve"> PAGEREF _Toc23582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_Toc15626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2.6.2. </w:t>
          </w:r>
          <w:r>
            <w:rPr>
              <w:rFonts w:hint="eastAsia"/>
              <w:lang w:val="en-US" w:eastAsia="zh-CN"/>
            </w:rPr>
            <w:t>技能评价指标完成情况</w:t>
          </w:r>
          <w:r>
            <w:tab/>
          </w:r>
          <w:r>
            <w:fldChar w:fldCharType="begin"/>
          </w:r>
          <w:r>
            <w:instrText xml:space="preserve"> PAGEREF _Toc15626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_Toc4206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 </w:t>
          </w:r>
          <w:r>
            <w:rPr>
              <w:rFonts w:hint="eastAsia"/>
              <w:lang w:val="en-US" w:eastAsia="zh-CN"/>
            </w:rPr>
            <w:t>资源管理总结</w:t>
          </w:r>
          <w:r>
            <w:tab/>
          </w:r>
          <w:r>
            <w:fldChar w:fldCharType="begin"/>
          </w:r>
          <w:r>
            <w:instrText xml:space="preserve"> PAGEREF _Toc4206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_Toc27453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3.1. </w:t>
          </w:r>
          <w:r>
            <w:rPr>
              <w:rFonts w:hint="eastAsia"/>
              <w:lang w:val="en-US" w:eastAsia="zh-CN"/>
            </w:rPr>
            <w:t>资源管理情况总结</w:t>
          </w:r>
          <w:r>
            <w:tab/>
          </w:r>
          <w:r>
            <w:fldChar w:fldCharType="begin"/>
          </w:r>
          <w:r>
            <w:instrText xml:space="preserve"> PAGEREF _Toc27453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_Toc30095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3.1.1. </w:t>
          </w:r>
          <w:r>
            <w:rPr>
              <w:rFonts w:hint="eastAsia"/>
              <w:lang w:val="en-US" w:eastAsia="zh-CN"/>
            </w:rPr>
            <w:t>运维工具管理情况总结</w:t>
          </w:r>
          <w:r>
            <w:tab/>
          </w:r>
          <w:r>
            <w:fldChar w:fldCharType="begin"/>
          </w:r>
          <w:r>
            <w:instrText xml:space="preserve"> PAGEREF _Toc30095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_Toc31049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3.1.2. </w:t>
          </w:r>
          <w:r>
            <w:rPr>
              <w:rFonts w:hint="eastAsia"/>
              <w:lang w:val="en-US" w:eastAsia="zh-CN"/>
            </w:rPr>
            <w:t>服务台管理情况总结</w:t>
          </w:r>
          <w:r>
            <w:tab/>
          </w:r>
          <w:r>
            <w:fldChar w:fldCharType="begin"/>
          </w:r>
          <w:r>
            <w:instrText xml:space="preserve"> PAGEREF _Toc31049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_Toc27962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3.1.3. </w:t>
          </w:r>
          <w:r>
            <w:rPr>
              <w:rFonts w:hint="eastAsia"/>
              <w:lang w:val="en-US" w:eastAsia="zh-CN"/>
            </w:rPr>
            <w:t>备件库管理情况总结</w:t>
          </w:r>
          <w:r>
            <w:tab/>
          </w:r>
          <w:r>
            <w:fldChar w:fldCharType="begin"/>
          </w:r>
          <w:r>
            <w:instrText xml:space="preserve"> PAGEREF _Toc27962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_Toc7799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3.1.4. </w:t>
          </w:r>
          <w:r>
            <w:rPr>
              <w:rFonts w:hint="eastAsia"/>
              <w:lang w:val="en-US" w:eastAsia="zh-CN"/>
            </w:rPr>
            <w:t>服务知识管理情况总结</w:t>
          </w:r>
          <w:r>
            <w:tab/>
          </w:r>
          <w:r>
            <w:fldChar w:fldCharType="begin"/>
          </w:r>
          <w:r>
            <w:instrText xml:space="preserve"> PAGEREF _Toc7799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_Toc1088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3.1.5. </w:t>
          </w:r>
          <w:r>
            <w:rPr>
              <w:rFonts w:hint="eastAsia"/>
              <w:lang w:val="en-US" w:eastAsia="zh-CN"/>
            </w:rPr>
            <w:t>最终软件库管理情况总结</w:t>
          </w:r>
          <w:r>
            <w:tab/>
          </w:r>
          <w:r>
            <w:fldChar w:fldCharType="begin"/>
          </w:r>
          <w:r>
            <w:instrText xml:space="preserve"> PAGEREF _Toc1088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_Toc17496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3.1.6. </w:t>
          </w:r>
          <w:r>
            <w:rPr>
              <w:rFonts w:hint="eastAsia"/>
              <w:lang w:val="en-US" w:eastAsia="zh-CN"/>
            </w:rPr>
            <w:t>服务数据管理情况总结</w:t>
          </w:r>
          <w:r>
            <w:tab/>
          </w:r>
          <w:r>
            <w:fldChar w:fldCharType="begin"/>
          </w:r>
          <w:r>
            <w:instrText xml:space="preserve"> PAGEREF _Toc17496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_Toc21989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技术管理总结</w:t>
          </w:r>
          <w:r>
            <w:tab/>
          </w:r>
          <w:r>
            <w:fldChar w:fldCharType="begin"/>
          </w:r>
          <w:r>
            <w:instrText xml:space="preserve"> PAGEREF _Toc21989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_Toc31024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4.1. </w:t>
          </w:r>
          <w:r>
            <w:t>物管平台-物联标识系统</w:t>
          </w:r>
          <w:r>
            <w:tab/>
          </w:r>
          <w:r>
            <w:fldChar w:fldCharType="begin"/>
          </w:r>
          <w:r>
            <w:instrText xml:space="preserve"> PAGEREF _Toc31024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_Toc24361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4.1.1. </w:t>
          </w:r>
          <w:r>
            <w:t>项目总体</w:t>
          </w:r>
          <w:r>
            <w:rPr>
              <w:rFonts w:hint="eastAsia"/>
              <w:lang w:val="en-US" w:eastAsia="zh-CN"/>
            </w:rPr>
            <w:t>概况</w:t>
          </w:r>
          <w:r>
            <w:tab/>
          </w:r>
          <w:r>
            <w:fldChar w:fldCharType="begin"/>
          </w:r>
          <w:r>
            <w:instrText xml:space="preserve"> PAGEREF _Toc24361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_Toc30369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4.1.2. </w:t>
          </w:r>
          <w:r>
            <w:t>整体计划推进表</w:t>
          </w:r>
          <w:r>
            <w:tab/>
          </w:r>
          <w:r>
            <w:fldChar w:fldCharType="begin"/>
          </w:r>
          <w:r>
            <w:instrText xml:space="preserve"> PAGEREF _Toc30369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_Toc26942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4.1.3. </w:t>
          </w:r>
          <w:r>
            <w:t>整体功能介绍</w:t>
          </w:r>
          <w:r>
            <w:tab/>
          </w:r>
          <w:r>
            <w:fldChar w:fldCharType="begin"/>
          </w:r>
          <w:r>
            <w:instrText xml:space="preserve"> PAGEREF _Toc26942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_Toc26313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4.1.4. </w:t>
          </w:r>
          <w:r>
            <w:t>主要模块详情</w:t>
          </w:r>
          <w:r>
            <w:tab/>
          </w:r>
          <w:r>
            <w:fldChar w:fldCharType="begin"/>
          </w:r>
          <w:r>
            <w:instrText xml:space="preserve"> PAGEREF _Toc26313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_Toc11447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4.1.5. </w:t>
          </w:r>
          <w:r>
            <w:t>产品功能与实现目标</w:t>
          </w:r>
          <w:r>
            <w:tab/>
          </w:r>
          <w:r>
            <w:fldChar w:fldCharType="begin"/>
          </w:r>
          <w:r>
            <w:instrText xml:space="preserve"> PAGEREF _Toc11447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_Toc9005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4.2. </w:t>
          </w:r>
          <w:r>
            <w:t>隔离装置监控处置工具</w:t>
          </w:r>
          <w:r>
            <w:tab/>
          </w:r>
          <w:r>
            <w:fldChar w:fldCharType="begin"/>
          </w:r>
          <w:r>
            <w:instrText xml:space="preserve"> PAGEREF _Toc9005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_Toc6972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4.2.1. </w:t>
          </w:r>
          <w:r>
            <w:t>项目总体</w:t>
          </w:r>
          <w:r>
            <w:rPr>
              <w:rFonts w:hint="eastAsia"/>
              <w:lang w:val="en-US" w:eastAsia="zh-CN"/>
            </w:rPr>
            <w:t>概况</w:t>
          </w:r>
          <w:r>
            <w:tab/>
          </w:r>
          <w:r>
            <w:fldChar w:fldCharType="begin"/>
          </w:r>
          <w:r>
            <w:instrText xml:space="preserve"> PAGEREF _Toc6972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_Toc17450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4.2.2. </w:t>
          </w:r>
          <w:r>
            <w:t>整体功能介绍</w:t>
          </w:r>
          <w:r>
            <w:tab/>
          </w:r>
          <w:r>
            <w:fldChar w:fldCharType="begin"/>
          </w:r>
          <w:r>
            <w:instrText xml:space="preserve"> PAGEREF _Toc17450 \h </w:instrText>
          </w:r>
          <w:r>
            <w:fldChar w:fldCharType="separate"/>
          </w:r>
          <w:r>
            <w:t>22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_Toc27585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4.2.3. </w:t>
          </w:r>
          <w:r>
            <w:t>主要模块详情</w:t>
          </w:r>
          <w:r>
            <w:tab/>
          </w:r>
          <w:r>
            <w:fldChar w:fldCharType="begin"/>
          </w:r>
          <w:r>
            <w:instrText xml:space="preserve"> PAGEREF _Toc27585 \h </w:instrText>
          </w:r>
          <w:r>
            <w:fldChar w:fldCharType="separate"/>
          </w:r>
          <w:r>
            <w:t>22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_Toc19653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4.2.4. </w:t>
          </w:r>
          <w:r>
            <w:t>产品功能与实现目标</w:t>
          </w:r>
          <w:r>
            <w:tab/>
          </w:r>
          <w:r>
            <w:fldChar w:fldCharType="begin"/>
          </w:r>
          <w:r>
            <w:instrText xml:space="preserve"> PAGEREF _Toc19653 \h </w:instrText>
          </w:r>
          <w:r>
            <w:fldChar w:fldCharType="separate"/>
          </w:r>
          <w:r>
            <w:t>24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_Toc9619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4.3. </w:t>
          </w:r>
          <w:r>
            <w:rPr>
              <w:rFonts w:hint="eastAsia"/>
              <w:lang w:val="en-US" w:eastAsia="zh-CN"/>
            </w:rPr>
            <w:t>运维手册研发成果说明</w:t>
          </w:r>
          <w:r>
            <w:tab/>
          </w:r>
          <w:r>
            <w:fldChar w:fldCharType="begin"/>
          </w:r>
          <w:r>
            <w:instrText xml:space="preserve"> PAGEREF _Toc9619 \h </w:instrText>
          </w:r>
          <w:r>
            <w:fldChar w:fldCharType="separate"/>
          </w:r>
          <w:r>
            <w:t>24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_Toc24071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4.4. </w:t>
          </w:r>
          <w:r>
            <w:rPr>
              <w:rFonts w:hint="eastAsia"/>
              <w:lang w:val="en-US" w:eastAsia="zh-CN"/>
            </w:rPr>
            <w:t>研发投入情况</w:t>
          </w:r>
          <w:r>
            <w:tab/>
          </w:r>
          <w:r>
            <w:fldChar w:fldCharType="begin"/>
          </w:r>
          <w:r>
            <w:instrText xml:space="preserve"> PAGEREF _Toc24071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_Toc2237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4.5. </w:t>
          </w:r>
          <w:r>
            <w:rPr>
              <w:rFonts w:hint="eastAsia"/>
              <w:lang w:val="en-US" w:eastAsia="zh-CN"/>
            </w:rPr>
            <w:t>新技术研发</w:t>
          </w:r>
          <w:r>
            <w:tab/>
          </w:r>
          <w:r>
            <w:fldChar w:fldCharType="begin"/>
          </w:r>
          <w:r>
            <w:instrText xml:space="preserve"> PAGEREF _Toc2237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_Toc30295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过程管理总结</w:t>
          </w:r>
          <w:r>
            <w:tab/>
          </w:r>
          <w:r>
            <w:fldChar w:fldCharType="begin"/>
          </w:r>
          <w:r>
            <w:instrText xml:space="preserve"> PAGEREF _Toc30295 \h </w:instrText>
          </w:r>
          <w:r>
            <w:fldChar w:fldCharType="separate"/>
          </w:r>
          <w:r>
            <w:t>26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_Toc26249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5.1. </w:t>
          </w:r>
          <w:r>
            <w:rPr>
              <w:rFonts w:hint="eastAsia"/>
              <w:lang w:val="en-US" w:eastAsia="zh-CN"/>
            </w:rPr>
            <w:t>过程框架设计管理情况总结</w:t>
          </w:r>
          <w:r>
            <w:tab/>
          </w:r>
          <w:r>
            <w:fldChar w:fldCharType="begin"/>
          </w:r>
          <w:r>
            <w:instrText xml:space="preserve"> PAGEREF _Toc26249 \h </w:instrText>
          </w:r>
          <w:r>
            <w:fldChar w:fldCharType="separate"/>
          </w:r>
          <w:r>
            <w:t>26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_Toc9314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5.2. </w:t>
          </w:r>
          <w:r>
            <w:rPr>
              <w:rFonts w:hint="eastAsia"/>
              <w:lang w:val="en-US" w:eastAsia="zh-CN"/>
            </w:rPr>
            <w:t>服务级别管理情况总结</w:t>
          </w:r>
          <w:r>
            <w:tab/>
          </w:r>
          <w:r>
            <w:fldChar w:fldCharType="begin"/>
          </w:r>
          <w:r>
            <w:instrText xml:space="preserve"> PAGEREF _Toc9314 \h </w:instrText>
          </w:r>
          <w:r>
            <w:fldChar w:fldCharType="separate"/>
          </w:r>
          <w:r>
            <w:t>26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_Toc21300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5.3. </w:t>
          </w:r>
          <w:r>
            <w:rPr>
              <w:rFonts w:hint="eastAsia"/>
              <w:lang w:val="en-US" w:eastAsia="zh-CN"/>
            </w:rPr>
            <w:t>服务报告管理情况总结</w:t>
          </w:r>
          <w:r>
            <w:tab/>
          </w:r>
          <w:r>
            <w:fldChar w:fldCharType="begin"/>
          </w:r>
          <w:r>
            <w:instrText xml:space="preserve"> PAGEREF _Toc21300 \h </w:instrText>
          </w:r>
          <w:r>
            <w:fldChar w:fldCharType="separate"/>
          </w:r>
          <w:r>
            <w:t>26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_Toc4763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5.4. </w:t>
          </w:r>
          <w:r>
            <w:rPr>
              <w:rFonts w:hint="eastAsia"/>
              <w:lang w:val="en-US" w:eastAsia="zh-CN"/>
            </w:rPr>
            <w:t>事件管理情况总结</w:t>
          </w:r>
          <w:r>
            <w:tab/>
          </w:r>
          <w:r>
            <w:fldChar w:fldCharType="begin"/>
          </w:r>
          <w:r>
            <w:instrText xml:space="preserve"> PAGEREF _Toc4763 \h </w:instrText>
          </w:r>
          <w:r>
            <w:fldChar w:fldCharType="separate"/>
          </w:r>
          <w:r>
            <w:t>27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_Toc8710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5.5. </w:t>
          </w:r>
          <w:r>
            <w:rPr>
              <w:rFonts w:hint="eastAsia"/>
              <w:lang w:val="en-US" w:eastAsia="zh-CN"/>
            </w:rPr>
            <w:t>问题管理情况总结</w:t>
          </w:r>
          <w:r>
            <w:tab/>
          </w:r>
          <w:r>
            <w:fldChar w:fldCharType="begin"/>
          </w:r>
          <w:r>
            <w:instrText xml:space="preserve"> PAGEREF _Toc8710 \h </w:instrText>
          </w:r>
          <w:r>
            <w:fldChar w:fldCharType="separate"/>
          </w:r>
          <w:r>
            <w:t>27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_Toc14162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5.6. </w:t>
          </w:r>
          <w:r>
            <w:rPr>
              <w:rFonts w:hint="eastAsia"/>
              <w:lang w:val="en-US" w:eastAsia="zh-CN"/>
            </w:rPr>
            <w:t>变更管理情况总结</w:t>
          </w:r>
          <w:r>
            <w:tab/>
          </w:r>
          <w:r>
            <w:fldChar w:fldCharType="begin"/>
          </w:r>
          <w:r>
            <w:instrText xml:space="preserve"> PAGEREF _Toc14162 \h </w:instrText>
          </w:r>
          <w:r>
            <w:fldChar w:fldCharType="separate"/>
          </w:r>
          <w:r>
            <w:t>27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_Toc26483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5.7. </w:t>
          </w:r>
          <w:r>
            <w:rPr>
              <w:rFonts w:hint="eastAsia"/>
              <w:lang w:val="en-US" w:eastAsia="zh-CN"/>
            </w:rPr>
            <w:t>发布管理情况总结</w:t>
          </w:r>
          <w:r>
            <w:tab/>
          </w:r>
          <w:r>
            <w:fldChar w:fldCharType="begin"/>
          </w:r>
          <w:r>
            <w:instrText xml:space="preserve"> PAGEREF _Toc26483 \h </w:instrText>
          </w:r>
          <w:r>
            <w:fldChar w:fldCharType="separate"/>
          </w:r>
          <w:r>
            <w:t>27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_Toc5877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5.8. </w:t>
          </w:r>
          <w:r>
            <w:rPr>
              <w:rFonts w:hint="eastAsia"/>
              <w:lang w:val="en-US" w:eastAsia="zh-CN"/>
            </w:rPr>
            <w:t>配置管理情况总结</w:t>
          </w:r>
          <w:r>
            <w:tab/>
          </w:r>
          <w:r>
            <w:fldChar w:fldCharType="begin"/>
          </w:r>
          <w:r>
            <w:instrText xml:space="preserve"> PAGEREF _Toc5877 \h </w:instrText>
          </w:r>
          <w:r>
            <w:fldChar w:fldCharType="separate"/>
          </w:r>
          <w:r>
            <w:t>28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_Toc22763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5.9. </w:t>
          </w:r>
          <w:r>
            <w:rPr>
              <w:rFonts w:hint="eastAsia"/>
              <w:lang w:val="en-US" w:eastAsia="zh-CN"/>
            </w:rPr>
            <w:t>服务可用性和连续性管理情况总结</w:t>
          </w:r>
          <w:r>
            <w:tab/>
          </w:r>
          <w:r>
            <w:fldChar w:fldCharType="begin"/>
          </w:r>
          <w:r>
            <w:instrText xml:space="preserve"> PAGEREF _Toc22763 \h </w:instrText>
          </w:r>
          <w:r>
            <w:fldChar w:fldCharType="separate"/>
          </w:r>
          <w:r>
            <w:t>28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_Toc12546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5.10. </w:t>
          </w:r>
          <w:r>
            <w:rPr>
              <w:rFonts w:hint="eastAsia"/>
              <w:lang w:val="en-US" w:eastAsia="zh-CN"/>
            </w:rPr>
            <w:t>容量管理情况总结</w:t>
          </w:r>
          <w:r>
            <w:tab/>
          </w:r>
          <w:r>
            <w:fldChar w:fldCharType="begin"/>
          </w:r>
          <w:r>
            <w:instrText xml:space="preserve"> PAGEREF _Toc12546 \h </w:instrText>
          </w:r>
          <w:r>
            <w:fldChar w:fldCharType="separate"/>
          </w:r>
          <w:r>
            <w:t>28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_Toc24708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5.11. </w:t>
          </w:r>
          <w:r>
            <w:rPr>
              <w:rFonts w:hint="eastAsia"/>
              <w:lang w:val="en-US" w:eastAsia="zh-CN"/>
            </w:rPr>
            <w:t>信息安全管理总结</w:t>
          </w:r>
          <w:r>
            <w:tab/>
          </w:r>
          <w:r>
            <w:fldChar w:fldCharType="begin"/>
          </w:r>
          <w:r>
            <w:instrText xml:space="preserve"> PAGEREF _Toc24708 \h </w:instrText>
          </w:r>
          <w:r>
            <w:fldChar w:fldCharType="separate"/>
          </w:r>
          <w:r>
            <w:t>28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_Toc13726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交付管理情况总结</w:t>
          </w:r>
          <w:r>
            <w:tab/>
          </w:r>
          <w:r>
            <w:fldChar w:fldCharType="begin"/>
          </w:r>
          <w:r>
            <w:instrText xml:space="preserve"> PAGEREF _Toc13726 \h </w:instrText>
          </w:r>
          <w:r>
            <w:fldChar w:fldCharType="separate"/>
          </w:r>
          <w:r>
            <w:t>29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_Toc10917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应急管理情况总结</w:t>
          </w:r>
          <w:r>
            <w:tab/>
          </w:r>
          <w:r>
            <w:fldChar w:fldCharType="begin"/>
          </w:r>
          <w:r>
            <w:instrText xml:space="preserve"> PAGEREF _Toc10917 \h </w:instrText>
          </w:r>
          <w:r>
            <w:fldChar w:fldCharType="separate"/>
          </w:r>
          <w:r>
            <w:t>29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_Toc20732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8. </w:t>
          </w:r>
          <w:r>
            <w:rPr>
              <w:rFonts w:hint="eastAsia"/>
              <w:lang w:val="en-US" w:eastAsia="zh-CN"/>
            </w:rPr>
            <w:t>质量管理总结</w:t>
          </w:r>
          <w:r>
            <w:tab/>
          </w:r>
          <w:r>
            <w:fldChar w:fldCharType="begin"/>
          </w:r>
          <w:r>
            <w:instrText xml:space="preserve"> PAGEREF _Toc20732 \h </w:instrText>
          </w:r>
          <w:r>
            <w:fldChar w:fldCharType="separate"/>
          </w:r>
          <w:r>
            <w:t>29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_Toc26204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8.1. </w:t>
          </w:r>
          <w:r>
            <w:rPr>
              <w:rFonts w:hint="eastAsia"/>
              <w:lang w:val="en-US" w:eastAsia="zh-CN"/>
            </w:rPr>
            <w:t>运维服务质量内部审核情况总结</w:t>
          </w:r>
          <w:r>
            <w:tab/>
          </w:r>
          <w:r>
            <w:fldChar w:fldCharType="begin"/>
          </w:r>
          <w:r>
            <w:instrText xml:space="preserve"> PAGEREF _Toc26204 \h </w:instrText>
          </w:r>
          <w:r>
            <w:fldChar w:fldCharType="separate"/>
          </w:r>
          <w:r>
            <w:t>29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_Toc767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8.2. </w:t>
          </w:r>
          <w:r>
            <w:rPr>
              <w:rFonts w:hint="eastAsia"/>
              <w:lang w:val="en-US" w:eastAsia="zh-CN"/>
            </w:rPr>
            <w:t>运维服务质量管理评审情况总结</w:t>
          </w:r>
          <w:r>
            <w:tab/>
          </w:r>
          <w:r>
            <w:fldChar w:fldCharType="begin"/>
          </w:r>
          <w:r>
            <w:instrText xml:space="preserve"> PAGEREF _Toc767 \h </w:instrText>
          </w:r>
          <w:r>
            <w:fldChar w:fldCharType="separate"/>
          </w:r>
          <w:r>
            <w:t>29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_Toc29954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8.3. </w:t>
          </w:r>
          <w:r>
            <w:rPr>
              <w:rFonts w:hint="eastAsia"/>
              <w:lang w:val="en-US" w:eastAsia="zh-CN"/>
            </w:rPr>
            <w:t>客户满意度调查及分析情况总结</w:t>
          </w:r>
          <w:r>
            <w:tab/>
          </w:r>
          <w:r>
            <w:fldChar w:fldCharType="begin"/>
          </w:r>
          <w:r>
            <w:instrText xml:space="preserve"> PAGEREF _Toc29954 \h </w:instrText>
          </w:r>
          <w:r>
            <w:fldChar w:fldCharType="separate"/>
          </w:r>
          <w:r>
            <w:t>30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_Toc27816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8.4. </w:t>
          </w:r>
          <w:r>
            <w:rPr>
              <w:rFonts w:hint="eastAsia"/>
              <w:lang w:val="en-US" w:eastAsia="zh-CN"/>
            </w:rPr>
            <w:t>SLA达成率情况分析</w:t>
          </w:r>
          <w:r>
            <w:tab/>
          </w:r>
          <w:r>
            <w:fldChar w:fldCharType="begin"/>
          </w:r>
          <w:r>
            <w:instrText xml:space="preserve"> PAGEREF _Toc27816 \h </w:instrText>
          </w:r>
          <w:r>
            <w:fldChar w:fldCharType="separate"/>
          </w:r>
          <w:r>
            <w:t>30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_Toc27734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9. </w:t>
          </w:r>
          <w:r>
            <w:rPr>
              <w:rFonts w:hint="eastAsia"/>
              <w:lang w:val="en-US" w:eastAsia="zh-CN"/>
            </w:rPr>
            <w:t>服务能力改进情况总结</w:t>
          </w:r>
          <w:r>
            <w:tab/>
          </w:r>
          <w:r>
            <w:fldChar w:fldCharType="begin"/>
          </w:r>
          <w:r>
            <w:instrText xml:space="preserve"> PAGEREF _Toc27734 \h </w:instrText>
          </w:r>
          <w:r>
            <w:fldChar w:fldCharType="separate"/>
          </w:r>
          <w:r>
            <w:t>30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_Toc2653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eastAsia="宋体" w:hint="default"/>
              <w:lang w:val="en-US" w:eastAsia="zh-CN"/>
            </w:rPr>
            <w:t xml:space="preserve">10. </w:t>
          </w:r>
          <w:r>
            <w:rPr>
              <w:rFonts w:eastAsia="宋体" w:hint="eastAsia"/>
              <w:lang w:val="en-US" w:eastAsia="zh-CN"/>
            </w:rPr>
            <w:t>附则</w:t>
          </w:r>
          <w:r>
            <w:tab/>
          </w:r>
          <w:r>
            <w:fldChar w:fldCharType="begin"/>
          </w:r>
          <w:r>
            <w:instrText xml:space="preserve"> PAGEREF _Toc2653 \h </w:instrText>
          </w:r>
          <w:r>
            <w:fldChar w:fldCharType="separate"/>
          </w:r>
          <w:r>
            <w:t>30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ascii="宋体" w:eastAsia="宋体" w:hAnsi="宋体" w:cs="宋体" w:hint="eastAsia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bookmarkStart w:id="4" w:name="_Toc17587"/>
      <w:r>
        <w:rPr>
          <w:rFonts w:hint="eastAsia"/>
          <w:lang w:val="en-US" w:eastAsia="zh-CN"/>
        </w:rPr>
        <w:t>概述</w:t>
      </w:r>
      <w:bookmarkEnd w:id="4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default"/>
        </w:rPr>
        <w:t>2025年，公司设定全年运维服务收入目标为510万元。</w:t>
      </w:r>
      <w:r>
        <w:rPr>
          <w:rFonts w:hint="eastAsia"/>
          <w:lang w:val="en-US" w:eastAsia="zh-CN"/>
        </w:rPr>
        <w:t>截止目前</w:t>
      </w:r>
      <w:r>
        <w:rPr>
          <w:rFonts w:hint="default"/>
        </w:rPr>
        <w:t>运维业务持续快速发展，公司始终秉持以客户满意为核心的服务导向，通过加强人才队伍建设、持续提升服务水平、加大研发支持力度，不断优化最终软件库管理，并增强各团队服务能力，为客户提供更加优质高效的运维服务支持。截至2025年</w:t>
      </w:r>
      <w:r>
        <w:rPr>
          <w:rFonts w:hint="eastAsia"/>
          <w:lang w:val="en-US" w:eastAsia="zh-CN"/>
        </w:rPr>
        <w:t>10</w:t>
      </w:r>
      <w:r>
        <w:rPr>
          <w:rFonts w:hint="default"/>
        </w:rPr>
        <w:t>月，运维业务实现收入</w:t>
      </w:r>
      <w:r>
        <w:rPr>
          <w:rFonts w:hint="eastAsia"/>
          <w:lang w:val="en-US" w:eastAsia="zh-CN"/>
        </w:rPr>
        <w:t>400</w:t>
      </w:r>
      <w:r>
        <w:rPr>
          <w:rFonts w:hint="default"/>
        </w:rPr>
        <w:t>万元，完成全年目标的</w:t>
      </w:r>
      <w:r>
        <w:rPr>
          <w:rFonts w:hint="eastAsia"/>
          <w:lang w:val="en-US" w:eastAsia="zh-CN"/>
        </w:rPr>
        <w:t>78.43</w:t>
      </w:r>
      <w:r>
        <w:rPr>
          <w:rFonts w:hint="default"/>
        </w:rPr>
        <w:t>%，进度符合预期。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</w:rPr>
      </w:pPr>
      <w:r>
        <w:rPr>
          <w:rFonts w:hint="default"/>
        </w:rPr>
        <w:t>为规范运维服务流程、提升服务品质与客户满意度，公司于2025年1月正式建立符合ITSS（信息技术服务标准）要求的运维服务能力管理体系，并全面推行实施。为充分发挥ITSS体系效能，公司制定了系统的运维服务能力管理规划，在过去半年中对各项运维能力目标的达成情况持续跟踪监督，并依据ITSS标准开展了内部符合性评估。从阶段性运行结果及内部评估情况来看，公司基本达成了年初制定的运维服务能力建设目标，体系运行总体有效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5" w:name="_Toc31059"/>
      <w:r>
        <w:rPr>
          <w:rFonts w:hint="eastAsia"/>
          <w:lang w:val="en-US" w:eastAsia="zh-CN"/>
        </w:rPr>
        <w:t>人员管理总结</w:t>
      </w:r>
      <w:bookmarkEnd w:id="5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6" w:name="_Toc3164"/>
      <w:r>
        <w:rPr>
          <w:rFonts w:hint="eastAsia"/>
          <w:lang w:val="en-US" w:eastAsia="zh-CN"/>
        </w:rPr>
        <w:t>招聘情况说明</w:t>
      </w:r>
      <w:bookmarkEnd w:id="6"/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bookmarkStart w:id="7" w:name="heading_3"/>
      <w:bookmarkStart w:id="8" w:name="_Toc13741"/>
      <w:bookmarkStart w:id="9" w:name="_Toc11378"/>
      <w:r>
        <w:rPr>
          <w:rFonts w:hint="eastAsia"/>
          <w:lang w:val="en-US" w:eastAsia="zh-CN"/>
        </w:rPr>
        <w:t>招聘计划</w:t>
      </w:r>
      <w:r>
        <w:t>完成情况</w:t>
      </w:r>
      <w:bookmarkEnd w:id="7"/>
      <w:bookmarkEnd w:id="8"/>
      <w:bookmarkEnd w:id="9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截止</w:t>
      </w:r>
      <w:r>
        <w:rPr>
          <w:rFonts w:hint="eastAsia"/>
          <w:lang w:val="en-US" w:eastAsia="zh-CN"/>
        </w:rPr>
        <w:t>2025年10</w:t>
      </w:r>
      <w:r>
        <w:t>月，累计开展线上+现场面试活动10余场，面试15余人次，克完成阶段性招聘任务：实际到岗</w:t>
      </w:r>
      <w:r>
        <w:rPr>
          <w:rFonts w:hint="eastAsia"/>
          <w:lang w:val="en-US" w:eastAsia="zh-CN"/>
        </w:rPr>
        <w:t>6</w:t>
      </w:r>
      <w:r>
        <w:t>人，支付招聘费用8000元（为全年广告投入）。具体到岗信息如下：</w:t>
      </w:r>
    </w:p>
    <w:tbl>
      <w:tblPr>
        <w:tblStyle w:val="TableNormal"/>
        <w:tblpPr w:leftFromText="180" w:rightFromText="180" w:vertAnchor="text" w:horzAnchor="page" w:tblpX="1807" w:tblpY="471"/>
        <w:tblOverlap w:val="never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982"/>
        <w:gridCol w:w="1476"/>
        <w:gridCol w:w="1176"/>
        <w:gridCol w:w="1281"/>
        <w:gridCol w:w="1010"/>
        <w:gridCol w:w="1222"/>
        <w:gridCol w:w="858"/>
      </w:tblGrid>
      <w:tr>
        <w:tblPrEx>
          <w:tblW w:w="0" w:type="auto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8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部门</w:t>
            </w:r>
          </w:p>
        </w:tc>
        <w:tc>
          <w:tcPr>
            <w:tcW w:w="147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岗位名称</w:t>
            </w:r>
          </w:p>
        </w:tc>
        <w:tc>
          <w:tcPr>
            <w:tcW w:w="117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计划人数</w:t>
            </w:r>
          </w:p>
        </w:tc>
        <w:tc>
          <w:tcPr>
            <w:tcW w:w="128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  <w:rPr>
                <w:rFonts w:eastAsia="等线" w:hint="eastAsia"/>
                <w:lang w:val="en-US" w:eastAsia="zh-CN"/>
              </w:rPr>
            </w:pPr>
            <w:r>
              <w:rPr>
                <w:rFonts w:ascii="Arial" w:eastAsia="等线" w:hAnsi="Arial" w:cs="Arial"/>
                <w:sz w:val="22"/>
              </w:rPr>
              <w:t>预算</w:t>
            </w:r>
            <w:r>
              <w:rPr>
                <w:rFonts w:eastAsia="等线" w:cs="Arial" w:hint="eastAsia"/>
                <w:sz w:val="22"/>
                <w:lang w:val="en-US" w:eastAsia="zh-CN"/>
              </w:rPr>
              <w:t>使用</w:t>
            </w:r>
          </w:p>
        </w:tc>
        <w:tc>
          <w:tcPr>
            <w:tcW w:w="101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招聘方式</w:t>
            </w:r>
          </w:p>
        </w:tc>
        <w:tc>
          <w:tcPr>
            <w:tcW w:w="122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计划完成时间</w:t>
            </w:r>
          </w:p>
        </w:tc>
        <w:tc>
          <w:tcPr>
            <w:tcW w:w="85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  <w:rPr>
                <w:rFonts w:ascii="Arial" w:eastAsia="等线" w:hAnsi="Arial" w:cs="Arial" w:hint="default"/>
                <w:sz w:val="22"/>
                <w:lang w:val="en-US" w:eastAsia="zh-CN"/>
              </w:rPr>
            </w:pPr>
            <w:r>
              <w:rPr>
                <w:rFonts w:eastAsia="等线" w:cs="Arial" w:hint="eastAsia"/>
                <w:sz w:val="22"/>
                <w:lang w:val="en-US" w:eastAsia="zh-CN"/>
              </w:rPr>
              <w:t>完成情况</w:t>
            </w:r>
          </w:p>
        </w:tc>
      </w:tr>
      <w:tr>
        <w:tblPrEx>
          <w:tblW w:w="0" w:type="auto"/>
          <w:tblInd w:w="0" w:type="dxa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82" w:type="dxa"/>
            <w:vMerge w:val="restart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  <w:rPr>
                <w:rFonts w:eastAsia="等线" w:cs="Arial" w:hint="eastAsia"/>
                <w:sz w:val="22"/>
                <w:lang w:val="en-US" w:eastAsia="zh-CN"/>
              </w:rPr>
            </w:pPr>
            <w:r>
              <w:rPr>
                <w:rFonts w:eastAsia="等线" w:cs="Arial" w:hint="eastAsia"/>
                <w:sz w:val="22"/>
                <w:lang w:val="en-US" w:eastAsia="zh-CN"/>
              </w:rPr>
              <w:t>运维部</w:t>
            </w: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</w:p>
        </w:tc>
        <w:tc>
          <w:tcPr>
            <w:tcW w:w="147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  <w:r>
              <w:rPr>
                <w:rFonts w:eastAsia="等线" w:cs="Arial" w:hint="eastAsia"/>
                <w:sz w:val="22"/>
                <w:lang w:val="en-US" w:eastAsia="zh-CN"/>
              </w:rPr>
              <w:t>会议电视</w:t>
            </w:r>
            <w:r>
              <w:rPr>
                <w:rFonts w:ascii="Arial" w:eastAsia="等线" w:hAnsi="Arial" w:cs="Arial"/>
                <w:sz w:val="22"/>
              </w:rPr>
              <w:t>运维工程师</w:t>
            </w:r>
          </w:p>
        </w:tc>
        <w:tc>
          <w:tcPr>
            <w:tcW w:w="117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1</w:t>
            </w:r>
          </w:p>
        </w:tc>
        <w:tc>
          <w:tcPr>
            <w:tcW w:w="1281" w:type="dxa"/>
            <w:vMerge w:val="restart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  <w:rPr>
                <w:rFonts w:eastAsia="宋体" w:hint="default"/>
                <w:lang w:val="en-US" w:eastAsia="zh-CN"/>
              </w:rPr>
            </w:pPr>
            <w:r>
              <w:rPr>
                <w:rFonts w:eastAsia="等线" w:cs="Arial" w:hint="eastAsia"/>
                <w:sz w:val="22"/>
                <w:lang w:val="en-US" w:eastAsia="zh-CN"/>
              </w:rPr>
              <w:t>8000元</w:t>
            </w:r>
          </w:p>
        </w:tc>
        <w:tc>
          <w:tcPr>
            <w:tcW w:w="101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外部招聘</w:t>
            </w:r>
          </w:p>
        </w:tc>
        <w:tc>
          <w:tcPr>
            <w:tcW w:w="122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  <w:r>
              <w:rPr>
                <w:rFonts w:eastAsia="等线" w:cs="Arial" w:hint="eastAsia"/>
                <w:sz w:val="22"/>
                <w:lang w:val="en-US" w:eastAsia="zh-CN"/>
              </w:rPr>
              <w:t>2025年</w:t>
            </w:r>
            <w:r>
              <w:rPr>
                <w:rFonts w:ascii="Arial" w:eastAsia="等线" w:hAnsi="Arial" w:cs="Arial"/>
                <w:sz w:val="22"/>
              </w:rPr>
              <w:t>4月</w:t>
            </w:r>
          </w:p>
        </w:tc>
        <w:tc>
          <w:tcPr>
            <w:tcW w:w="85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  <w:rPr>
                <w:rFonts w:eastAsia="等线" w:cs="Arial" w:hint="default"/>
                <w:sz w:val="22"/>
                <w:lang w:val="en-US" w:eastAsia="zh-CN"/>
              </w:rPr>
            </w:pPr>
            <w:r>
              <w:rPr>
                <w:rFonts w:eastAsia="等线" w:cs="Arial" w:hint="eastAsia"/>
                <w:sz w:val="22"/>
                <w:lang w:val="en-US" w:eastAsia="zh-CN"/>
              </w:rPr>
              <w:t>完成</w:t>
            </w:r>
          </w:p>
        </w:tc>
      </w:tr>
      <w:tr>
        <w:tblPrEx>
          <w:tblW w:w="0" w:type="auto"/>
          <w:tblInd w:w="0" w:type="dxa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82" w:type="dxa"/>
            <w:vMerge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  <w:rPr>
                <w:rFonts w:eastAsia="等线" w:cs="Arial" w:hint="eastAsia"/>
                <w:sz w:val="22"/>
                <w:lang w:val="en-US" w:eastAsia="zh-CN"/>
              </w:rPr>
            </w:pPr>
          </w:p>
        </w:tc>
        <w:tc>
          <w:tcPr>
            <w:tcW w:w="147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  <w:rPr>
                <w:rFonts w:eastAsia="等线" w:cs="Arial" w:hint="default"/>
                <w:sz w:val="22"/>
                <w:lang w:val="en-US" w:eastAsia="zh-CN"/>
              </w:rPr>
            </w:pPr>
            <w:r>
              <w:rPr>
                <w:rFonts w:eastAsia="等线" w:cs="Arial" w:hint="eastAsia"/>
                <w:sz w:val="22"/>
                <w:lang w:val="en-US" w:eastAsia="zh-CN"/>
              </w:rPr>
              <w:t>数据库运维工程师</w:t>
            </w:r>
          </w:p>
        </w:tc>
        <w:tc>
          <w:tcPr>
            <w:tcW w:w="117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  <w:rPr>
                <w:rFonts w:ascii="Arial" w:eastAsia="等线" w:hAnsi="Arial" w:cs="Arial" w:hint="eastAsia"/>
                <w:sz w:val="22"/>
                <w:lang w:val="en-US" w:eastAsia="zh-CN"/>
              </w:rPr>
            </w:pPr>
            <w:r>
              <w:rPr>
                <w:rFonts w:eastAsia="等线" w:cs="Arial" w:hint="eastAsia"/>
                <w:sz w:val="22"/>
                <w:lang w:val="en-US" w:eastAsia="zh-CN"/>
              </w:rPr>
              <w:t>2</w:t>
            </w:r>
          </w:p>
        </w:tc>
        <w:tc>
          <w:tcPr>
            <w:tcW w:w="1281" w:type="dxa"/>
            <w:vMerge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  <w:rPr>
                <w:rFonts w:ascii="Arial" w:eastAsia="等线" w:hAnsi="Arial" w:cs="Arial"/>
                <w:sz w:val="22"/>
              </w:rPr>
            </w:pPr>
          </w:p>
        </w:tc>
        <w:tc>
          <w:tcPr>
            <w:tcW w:w="101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/>
              <w:jc w:val="left"/>
              <w:textAlignment w:val="baseline"/>
              <w:rPr>
                <w:rFonts w:ascii="Arial" w:eastAsia="宋体" w:hAnsi="Arial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eastAsia="等线" w:hAnsi="Arial" w:cs="Arial"/>
                <w:sz w:val="22"/>
              </w:rPr>
              <w:t>外部招聘</w:t>
            </w:r>
          </w:p>
        </w:tc>
        <w:tc>
          <w:tcPr>
            <w:tcW w:w="1222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/>
              <w:jc w:val="left"/>
              <w:textAlignment w:val="baseline"/>
              <w:rPr>
                <w:rFonts w:ascii="Arial" w:eastAsia="宋体" w:hAnsi="Arial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eastAsia="等线" w:cs="Arial" w:hint="eastAsia"/>
                <w:sz w:val="22"/>
                <w:lang w:val="en-US" w:eastAsia="zh-CN"/>
              </w:rPr>
              <w:t>2025年10</w:t>
            </w:r>
            <w:r>
              <w:rPr>
                <w:rFonts w:ascii="Arial" w:eastAsia="等线" w:hAnsi="Arial" w:cs="Arial"/>
                <w:sz w:val="22"/>
              </w:rPr>
              <w:t>月</w:t>
            </w:r>
          </w:p>
        </w:tc>
        <w:tc>
          <w:tcPr>
            <w:tcW w:w="858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/>
              <w:jc w:val="left"/>
              <w:textAlignment w:val="baseline"/>
              <w:rPr>
                <w:rFonts w:eastAsia="等线" w:cs="Arial" w:hint="eastAsia"/>
                <w:sz w:val="22"/>
                <w:lang w:val="en-US" w:eastAsia="zh-CN"/>
              </w:rPr>
            </w:pPr>
            <w:r>
              <w:rPr>
                <w:rFonts w:eastAsia="等线" w:cs="Arial" w:hint="eastAsia"/>
                <w:sz w:val="22"/>
                <w:lang w:val="en-US" w:eastAsia="zh-CN"/>
              </w:rPr>
              <w:t>完成</w:t>
            </w:r>
          </w:p>
        </w:tc>
      </w:tr>
      <w:tr>
        <w:tblPrEx>
          <w:tblW w:w="0" w:type="auto"/>
          <w:tblInd w:w="0" w:type="dxa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82" w:type="dxa"/>
            <w:vMerge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</w:p>
        </w:tc>
        <w:tc>
          <w:tcPr>
            <w:tcW w:w="147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服务台专员</w:t>
            </w:r>
          </w:p>
        </w:tc>
        <w:tc>
          <w:tcPr>
            <w:tcW w:w="117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1</w:t>
            </w:r>
          </w:p>
        </w:tc>
        <w:tc>
          <w:tcPr>
            <w:tcW w:w="1281" w:type="dxa"/>
            <w:vMerge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</w:p>
        </w:tc>
        <w:tc>
          <w:tcPr>
            <w:tcW w:w="101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外部招聘</w:t>
            </w:r>
          </w:p>
        </w:tc>
        <w:tc>
          <w:tcPr>
            <w:tcW w:w="122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  <w:r>
              <w:rPr>
                <w:rFonts w:eastAsia="等线" w:cs="Arial" w:hint="eastAsia"/>
                <w:sz w:val="22"/>
                <w:lang w:val="en-US" w:eastAsia="zh-CN"/>
              </w:rPr>
              <w:t>2025年</w:t>
            </w:r>
            <w:r>
              <w:rPr>
                <w:rFonts w:ascii="Arial" w:eastAsia="等线" w:hAnsi="Arial" w:cs="Arial"/>
                <w:sz w:val="22"/>
              </w:rPr>
              <w:t>4月</w:t>
            </w:r>
          </w:p>
        </w:tc>
        <w:tc>
          <w:tcPr>
            <w:tcW w:w="85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  <w:rPr>
                <w:rFonts w:eastAsia="等线" w:cs="Arial" w:hint="eastAsia"/>
                <w:sz w:val="22"/>
                <w:lang w:val="en-US" w:eastAsia="zh-CN"/>
              </w:rPr>
            </w:pPr>
            <w:r>
              <w:rPr>
                <w:rFonts w:eastAsia="等线" w:cs="Arial" w:hint="eastAsia"/>
                <w:sz w:val="22"/>
                <w:lang w:val="en-US" w:eastAsia="zh-CN"/>
              </w:rPr>
              <w:t>完成</w:t>
            </w:r>
          </w:p>
        </w:tc>
      </w:tr>
      <w:tr>
        <w:tblPrEx>
          <w:tblW w:w="0" w:type="auto"/>
          <w:tblInd w:w="0" w:type="dxa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517"/>
        </w:trPr>
        <w:tc>
          <w:tcPr>
            <w:tcW w:w="982" w:type="dxa"/>
            <w:vMerge w:val="restart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研发部</w:t>
            </w:r>
          </w:p>
        </w:tc>
        <w:tc>
          <w:tcPr>
            <w:tcW w:w="1476" w:type="dxa"/>
            <w:vMerge w:val="restart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软件研发工程师</w:t>
            </w:r>
          </w:p>
        </w:tc>
        <w:tc>
          <w:tcPr>
            <w:tcW w:w="1176" w:type="dxa"/>
            <w:vMerge w:val="restart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2</w:t>
            </w:r>
          </w:p>
        </w:tc>
        <w:tc>
          <w:tcPr>
            <w:tcW w:w="1281" w:type="dxa"/>
            <w:vMerge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</w:p>
        </w:tc>
        <w:tc>
          <w:tcPr>
            <w:tcW w:w="1010" w:type="dxa"/>
            <w:vMerge w:val="restart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外部招聘</w:t>
            </w:r>
          </w:p>
        </w:tc>
        <w:tc>
          <w:tcPr>
            <w:tcW w:w="122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  <w:rPr>
                <w:rFonts w:eastAsia="等线" w:hint="default"/>
                <w:lang w:val="en-US" w:eastAsia="zh-CN"/>
              </w:rPr>
            </w:pPr>
            <w:r>
              <w:rPr>
                <w:rFonts w:eastAsia="等线" w:cs="Arial" w:hint="eastAsia"/>
                <w:sz w:val="22"/>
                <w:lang w:val="en-US" w:eastAsia="zh-CN"/>
              </w:rPr>
              <w:t>2025年3</w:t>
            </w:r>
            <w:r>
              <w:rPr>
                <w:rFonts w:ascii="Arial" w:eastAsia="等线" w:hAnsi="Arial" w:cs="Arial"/>
                <w:sz w:val="22"/>
              </w:rPr>
              <w:t>月</w:t>
            </w:r>
            <w:r>
              <w:rPr>
                <w:rFonts w:eastAsia="等线" w:cs="Arial" w:hint="eastAsia"/>
                <w:sz w:val="22"/>
                <w:lang w:val="en-US" w:eastAsia="zh-CN"/>
              </w:rPr>
              <w:t>1人</w:t>
            </w:r>
          </w:p>
        </w:tc>
        <w:tc>
          <w:tcPr>
            <w:tcW w:w="85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  <w:rPr>
                <w:rFonts w:eastAsia="等线" w:cs="Arial" w:hint="eastAsia"/>
                <w:sz w:val="22"/>
                <w:lang w:val="en-US" w:eastAsia="zh-CN"/>
              </w:rPr>
            </w:pPr>
            <w:r>
              <w:rPr>
                <w:rFonts w:eastAsia="等线" w:cs="Arial" w:hint="eastAsia"/>
                <w:sz w:val="22"/>
                <w:lang w:val="en-US" w:eastAsia="zh-CN"/>
              </w:rPr>
              <w:t>完成</w:t>
            </w:r>
          </w:p>
        </w:tc>
      </w:tr>
      <w:tr>
        <w:tblPrEx>
          <w:tblW w:w="0" w:type="auto"/>
          <w:tblInd w:w="0" w:type="dxa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517"/>
        </w:trPr>
        <w:tc>
          <w:tcPr>
            <w:tcW w:w="982" w:type="dxa"/>
            <w:vMerge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</w:p>
        </w:tc>
        <w:tc>
          <w:tcPr>
            <w:tcW w:w="1476" w:type="dxa"/>
            <w:vMerge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</w:p>
        </w:tc>
        <w:tc>
          <w:tcPr>
            <w:tcW w:w="1176" w:type="dxa"/>
            <w:vMerge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</w:p>
        </w:tc>
        <w:tc>
          <w:tcPr>
            <w:tcW w:w="1281" w:type="dxa"/>
            <w:vMerge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</w:p>
        </w:tc>
        <w:tc>
          <w:tcPr>
            <w:tcW w:w="1010" w:type="dxa"/>
            <w:vMerge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</w:p>
        </w:tc>
        <w:tc>
          <w:tcPr>
            <w:tcW w:w="122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  <w:rPr>
                <w:rFonts w:ascii="Arial" w:eastAsia="等线" w:hAnsi="Arial" w:cs="Arial" w:hint="default"/>
                <w:sz w:val="22"/>
                <w:lang w:val="en-US" w:eastAsia="zh-CN"/>
              </w:rPr>
            </w:pPr>
            <w:r>
              <w:rPr>
                <w:rFonts w:eastAsia="等线" w:cs="Arial" w:hint="eastAsia"/>
                <w:sz w:val="22"/>
                <w:lang w:val="en-US" w:eastAsia="zh-CN"/>
              </w:rPr>
              <w:t>2025年10</w:t>
            </w:r>
            <w:r>
              <w:rPr>
                <w:rFonts w:ascii="Arial" w:eastAsia="等线" w:hAnsi="Arial" w:cs="Arial"/>
                <w:sz w:val="22"/>
              </w:rPr>
              <w:t>月</w:t>
            </w:r>
            <w:r>
              <w:rPr>
                <w:rFonts w:eastAsia="等线" w:cs="Arial" w:hint="eastAsia"/>
                <w:sz w:val="22"/>
                <w:lang w:val="en-US" w:eastAsia="zh-CN"/>
              </w:rPr>
              <w:t>1人</w:t>
            </w:r>
          </w:p>
        </w:tc>
        <w:tc>
          <w:tcPr>
            <w:tcW w:w="85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  <w:rPr>
                <w:rFonts w:eastAsia="等线" w:cs="Arial" w:hint="eastAsia"/>
                <w:sz w:val="22"/>
                <w:lang w:val="en-US" w:eastAsia="zh-CN"/>
              </w:rPr>
            </w:pPr>
            <w:r>
              <w:rPr>
                <w:rFonts w:eastAsia="等线" w:cs="Arial" w:hint="eastAsia"/>
                <w:sz w:val="22"/>
                <w:lang w:val="en-US" w:eastAsia="zh-CN"/>
              </w:rPr>
              <w:t>完成</w:t>
            </w:r>
          </w:p>
        </w:tc>
      </w:tr>
    </w:tbl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bookmarkStart w:id="10" w:name="_Toc5186"/>
      <w:bookmarkStart w:id="11" w:name="_Toc15565"/>
      <w:r>
        <w:rPr>
          <w:rFonts w:hint="eastAsia"/>
          <w:lang w:val="en-US" w:eastAsia="zh-CN"/>
        </w:rPr>
        <w:t>招聘指标完成情况</w:t>
      </w:r>
      <w:bookmarkEnd w:id="10"/>
      <w:bookmarkEnd w:id="11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/>
        </w:rPr>
      </w:pPr>
      <w:r>
        <w:rPr>
          <w:rFonts w:hint="eastAsia"/>
          <w:lang w:val="en-US" w:eastAsia="zh-CN"/>
        </w:rPr>
        <w:t>根据招聘管理制度相关规定，招聘的指标为</w:t>
      </w:r>
      <w:r>
        <w:rPr>
          <w:rFonts w:hint="eastAsia"/>
          <w:spacing w:val="-3"/>
          <w:sz w:val="24"/>
          <w:szCs w:val="24"/>
          <w:lang w:val="en-US" w:eastAsia="zh-CN"/>
        </w:rPr>
        <w:t>招聘计划完成率</w:t>
      </w:r>
      <w:r>
        <w:rPr>
          <w:rFonts w:hint="eastAsia"/>
          <w:spacing w:val="-3"/>
          <w:sz w:val="24"/>
          <w:szCs w:val="24"/>
          <w:lang w:eastAsia="zh-CN"/>
        </w:rPr>
        <w:t>，</w:t>
      </w:r>
      <w:r>
        <w:rPr>
          <w:rFonts w:hint="eastAsia"/>
          <w:spacing w:val="-3"/>
          <w:sz w:val="24"/>
          <w:szCs w:val="24"/>
          <w:lang w:val="en-US" w:eastAsia="zh-CN"/>
        </w:rPr>
        <w:t>计算方式为</w:t>
      </w:r>
      <w:r>
        <w:rPr>
          <w:spacing w:val="-2"/>
          <w:sz w:val="24"/>
          <w:szCs w:val="24"/>
        </w:rPr>
        <w:t>实际招聘人数/计划招聘人数*100%</w:t>
      </w:r>
      <w:r>
        <w:rPr>
          <w:rFonts w:hint="eastAsia"/>
          <w:spacing w:val="-2"/>
          <w:sz w:val="24"/>
          <w:szCs w:val="24"/>
          <w:lang w:val="en-US" w:eastAsia="zh-CN"/>
        </w:rPr>
        <w:t>，考核频次为年度考核。通过跟踪招聘完成情况得知，2025计划招聘6人，截止2025年10月完成招聘6人，招聘计划完成率为100%。满足招聘计划完成率≥95%的要求。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2" w:name="_Toc1369"/>
      <w:r>
        <w:rPr>
          <w:rFonts w:hint="eastAsia"/>
          <w:lang w:val="en-US" w:eastAsia="zh-CN"/>
        </w:rPr>
        <w:t>储备情况说明</w:t>
      </w:r>
      <w:bookmarkEnd w:id="12"/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bookmarkStart w:id="13" w:name="_Toc25874"/>
      <w:bookmarkStart w:id="14" w:name="_Toc7313"/>
      <w:r>
        <w:rPr>
          <w:rFonts w:hint="eastAsia"/>
          <w:lang w:val="en-US" w:eastAsia="zh-CN"/>
        </w:rPr>
        <w:t>储备计划</w:t>
      </w:r>
      <w:r>
        <w:t>完成情况</w:t>
      </w:r>
      <w:bookmarkEnd w:id="13"/>
      <w:bookmarkEnd w:id="14"/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5" w:name="_Toc18996"/>
      <w:r>
        <w:rPr>
          <w:rFonts w:hint="eastAsia"/>
          <w:lang w:val="en-US" w:eastAsia="zh-CN"/>
        </w:rPr>
        <w:t>外部储备</w:t>
      </w:r>
      <w:bookmarkEnd w:id="15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截止2025年10月，外部招聘储备6人全部按计划到岗，达成储备目标。详情查看本章节第一小节“招聘情况说明”。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6" w:name="_Toc31048"/>
      <w:r>
        <w:rPr>
          <w:rFonts w:hint="eastAsia"/>
          <w:lang w:val="en-US" w:eastAsia="zh-CN"/>
        </w:rPr>
        <w:t>内部储备</w:t>
      </w:r>
      <w:bookmarkEnd w:id="16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全年计划储备8人。截止2025年10月，计划储备7人，实际储备7人，达成储备目标。涉及应急通信运维工程师、传输设备运维工程师、项目经理、运行监控运维工程师、erp系统运维工程师、数据库运维工程师等关键岗位。具体完成情况如下:</w:t>
      </w:r>
    </w:p>
    <w:tbl>
      <w:tblPr>
        <w:tblStyle w:val="TableNormal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380"/>
        <w:gridCol w:w="1380"/>
        <w:gridCol w:w="1657"/>
        <w:gridCol w:w="1344"/>
        <w:gridCol w:w="1139"/>
        <w:gridCol w:w="1380"/>
      </w:tblGrid>
      <w:tr>
        <w:tblPrEx>
          <w:tblW w:w="0" w:type="auto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部门名称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岗位名称</w:t>
            </w:r>
          </w:p>
        </w:tc>
        <w:tc>
          <w:tcPr>
            <w:tcW w:w="165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计划储备人数</w:t>
            </w:r>
          </w:p>
        </w:tc>
        <w:tc>
          <w:tcPr>
            <w:tcW w:w="13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计划储备时间</w:t>
            </w:r>
          </w:p>
        </w:tc>
        <w:tc>
          <w:tcPr>
            <w:tcW w:w="113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储备方式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eastAsia="等线" w:hAnsi="Arial" w:cs="Arial" w:hint="default"/>
                <w:sz w:val="22"/>
                <w:lang w:val="en-US" w:eastAsia="zh-CN"/>
              </w:rPr>
            </w:pPr>
            <w:r>
              <w:rPr>
                <w:rFonts w:eastAsia="等线" w:cs="Arial" w:hint="eastAsia"/>
                <w:sz w:val="22"/>
                <w:lang w:val="en-US" w:eastAsia="zh-CN"/>
              </w:rPr>
              <w:t>完成情况</w:t>
            </w:r>
          </w:p>
        </w:tc>
      </w:tr>
      <w:tr>
        <w:tblPrEx>
          <w:tblW w:w="0" w:type="auto"/>
          <w:tblInd w:w="0" w:type="dxa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eastAsia="宋体" w:hint="eastAsia"/>
                <w:lang w:eastAsia="zh-CN"/>
              </w:rPr>
            </w:pPr>
            <w:r>
              <w:rPr>
                <w:rFonts w:eastAsia="等线" w:cs="Arial" w:hint="eastAsia"/>
                <w:sz w:val="22"/>
                <w:lang w:val="en-US" w:eastAsia="zh-CN"/>
              </w:rPr>
              <w:t>运维部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应急通信运维工程师</w:t>
            </w:r>
          </w:p>
        </w:tc>
        <w:tc>
          <w:tcPr>
            <w:tcW w:w="165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1</w:t>
            </w:r>
          </w:p>
        </w:tc>
        <w:tc>
          <w:tcPr>
            <w:tcW w:w="13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1月</w:t>
            </w:r>
          </w:p>
        </w:tc>
        <w:tc>
          <w:tcPr>
            <w:tcW w:w="113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内部选聘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eastAsia="等线" w:hAnsi="Arial" w:cs="Arial" w:hint="eastAsia"/>
                <w:sz w:val="22"/>
                <w:lang w:val="en-US" w:eastAsia="zh-CN"/>
              </w:rPr>
            </w:pPr>
            <w:r>
              <w:rPr>
                <w:rFonts w:eastAsia="等线" w:cs="Arial" w:hint="eastAsia"/>
                <w:sz w:val="22"/>
                <w:lang w:val="en-US" w:eastAsia="zh-CN"/>
              </w:rPr>
              <w:t>已完成</w:t>
            </w:r>
          </w:p>
        </w:tc>
      </w:tr>
      <w:tr>
        <w:tblPrEx>
          <w:tblW w:w="0" w:type="auto"/>
          <w:tblInd w:w="0" w:type="dxa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eastAsia="等线" w:cs="Arial" w:hint="eastAsia"/>
                <w:sz w:val="22"/>
                <w:lang w:val="en-US" w:eastAsia="zh-CN"/>
              </w:rPr>
              <w:t>运维部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传输设备运维工程师</w:t>
            </w:r>
          </w:p>
        </w:tc>
        <w:tc>
          <w:tcPr>
            <w:tcW w:w="165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1</w:t>
            </w:r>
          </w:p>
        </w:tc>
        <w:tc>
          <w:tcPr>
            <w:tcW w:w="13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3月</w:t>
            </w:r>
          </w:p>
        </w:tc>
        <w:tc>
          <w:tcPr>
            <w:tcW w:w="113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内部选聘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eastAsia="等线" w:hAnsi="Arial" w:cs="Arial"/>
                <w:sz w:val="22"/>
              </w:rPr>
            </w:pPr>
            <w:r>
              <w:rPr>
                <w:rFonts w:eastAsia="等线" w:cs="Arial" w:hint="eastAsia"/>
                <w:sz w:val="22"/>
                <w:lang w:val="en-US" w:eastAsia="zh-CN"/>
              </w:rPr>
              <w:t>已完成</w:t>
            </w:r>
          </w:p>
        </w:tc>
      </w:tr>
      <w:tr>
        <w:tblPrEx>
          <w:tblW w:w="0" w:type="auto"/>
          <w:tblInd w:w="0" w:type="dxa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eastAsia="宋体" w:hAnsi="Arial" w:cs="Arial" w:hint="eastAsia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eastAsia="等线" w:cs="Arial" w:hint="eastAsia"/>
                <w:sz w:val="22"/>
                <w:lang w:val="en-US" w:eastAsia="zh-CN"/>
              </w:rPr>
              <w:t>运维部</w:t>
            </w:r>
          </w:p>
        </w:tc>
        <w:tc>
          <w:tcPr>
            <w:tcW w:w="138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eastAsia="宋体" w:hAnsi="Arial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eastAsia="等线" w:hAnsi="Arial" w:cs="Arial"/>
                <w:sz w:val="22"/>
              </w:rPr>
              <w:t>项目经理</w:t>
            </w:r>
          </w:p>
        </w:tc>
        <w:tc>
          <w:tcPr>
            <w:tcW w:w="1657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eastAsia="宋体" w:hAnsi="Arial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eastAsia="等线" w:hAnsi="Arial" w:cs="Arial"/>
                <w:sz w:val="22"/>
              </w:rPr>
              <w:t>1</w:t>
            </w:r>
          </w:p>
        </w:tc>
        <w:tc>
          <w:tcPr>
            <w:tcW w:w="1344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eastAsia="宋体" w:hAnsi="Arial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eastAsia="等线" w:hAnsi="Arial" w:cs="Arial"/>
                <w:sz w:val="22"/>
              </w:rPr>
              <w:t>6月</w:t>
            </w:r>
          </w:p>
        </w:tc>
        <w:tc>
          <w:tcPr>
            <w:tcW w:w="113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eastAsia="宋体" w:hAnsi="Arial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eastAsia="等线" w:hAnsi="Arial" w:cs="Arial"/>
                <w:sz w:val="22"/>
              </w:rPr>
              <w:t>内部选聘</w:t>
            </w:r>
          </w:p>
        </w:tc>
        <w:tc>
          <w:tcPr>
            <w:tcW w:w="138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eastAsia="等线" w:hAnsi="Arial" w:cs="Arial"/>
                <w:sz w:val="22"/>
              </w:rPr>
            </w:pPr>
            <w:r>
              <w:rPr>
                <w:rFonts w:eastAsia="等线" w:cs="Arial" w:hint="eastAsia"/>
                <w:sz w:val="22"/>
                <w:lang w:val="en-US" w:eastAsia="zh-CN"/>
              </w:rPr>
              <w:t>已完成</w:t>
            </w:r>
          </w:p>
        </w:tc>
      </w:tr>
      <w:tr>
        <w:tblPrEx>
          <w:tblW w:w="0" w:type="auto"/>
          <w:tblInd w:w="0" w:type="dxa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eastAsia="等线" w:cs="Arial" w:hint="eastAsia"/>
                <w:sz w:val="22"/>
                <w:lang w:val="en-US" w:eastAsia="zh-CN"/>
              </w:rPr>
              <w:t>运维部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项目经理</w:t>
            </w:r>
          </w:p>
        </w:tc>
        <w:tc>
          <w:tcPr>
            <w:tcW w:w="165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2</w:t>
            </w:r>
          </w:p>
        </w:tc>
        <w:tc>
          <w:tcPr>
            <w:tcW w:w="13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7月</w:t>
            </w:r>
          </w:p>
        </w:tc>
        <w:tc>
          <w:tcPr>
            <w:tcW w:w="113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内部选聘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eastAsia="等线" w:hAnsi="Arial" w:cs="Arial"/>
                <w:sz w:val="22"/>
              </w:rPr>
            </w:pPr>
            <w:r>
              <w:rPr>
                <w:rFonts w:eastAsia="等线" w:cs="Arial" w:hint="eastAsia"/>
                <w:sz w:val="22"/>
                <w:lang w:val="en-US" w:eastAsia="zh-CN"/>
              </w:rPr>
              <w:t>已完成</w:t>
            </w:r>
          </w:p>
        </w:tc>
      </w:tr>
      <w:tr>
        <w:tblPrEx>
          <w:tblW w:w="0" w:type="auto"/>
          <w:tblInd w:w="0" w:type="dxa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eastAsia="宋体" w:hAnsi="Arial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eastAsia="等线" w:cs="Arial" w:hint="eastAsia"/>
                <w:sz w:val="22"/>
                <w:lang w:val="en-US" w:eastAsia="zh-CN"/>
              </w:rPr>
              <w:t>运维部</w:t>
            </w:r>
          </w:p>
        </w:tc>
        <w:tc>
          <w:tcPr>
            <w:tcW w:w="138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eastAsia="宋体" w:hAnsi="Arial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eastAsia="等线" w:hAnsi="Arial" w:cs="Arial"/>
                <w:sz w:val="22"/>
              </w:rPr>
              <w:t>ERP系统运维工程师</w:t>
            </w:r>
          </w:p>
        </w:tc>
        <w:tc>
          <w:tcPr>
            <w:tcW w:w="1657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eastAsia="宋体" w:hAnsi="Arial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eastAsia="等线" w:hAnsi="Arial" w:cs="Arial"/>
                <w:sz w:val="22"/>
              </w:rPr>
              <w:t>1</w:t>
            </w:r>
          </w:p>
        </w:tc>
        <w:tc>
          <w:tcPr>
            <w:tcW w:w="1344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eastAsia="宋体" w:hAnsi="Arial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eastAsia="等线" w:hAnsi="Arial" w:cs="Arial"/>
                <w:sz w:val="22"/>
              </w:rPr>
              <w:t>9月</w:t>
            </w:r>
          </w:p>
        </w:tc>
        <w:tc>
          <w:tcPr>
            <w:tcW w:w="113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eastAsia="宋体" w:hAnsi="Arial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eastAsia="等线" w:hAnsi="Arial" w:cs="Arial"/>
                <w:sz w:val="22"/>
              </w:rPr>
              <w:t>内部选聘</w:t>
            </w:r>
          </w:p>
        </w:tc>
        <w:tc>
          <w:tcPr>
            <w:tcW w:w="138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eastAsia="等线" w:hAnsi="Arial" w:cs="Arial"/>
                <w:snapToGrid w:val="0"/>
                <w:color w:val="000000"/>
                <w:kern w:val="0"/>
                <w:sz w:val="22"/>
                <w:szCs w:val="21"/>
                <w:lang w:val="en-US" w:eastAsia="en-US" w:bidi="ar-SA"/>
              </w:rPr>
            </w:pPr>
            <w:r>
              <w:rPr>
                <w:rFonts w:eastAsia="等线" w:cs="Arial" w:hint="eastAsia"/>
                <w:sz w:val="22"/>
                <w:lang w:val="en-US" w:eastAsia="zh-CN"/>
              </w:rPr>
              <w:t>已完成</w:t>
            </w:r>
          </w:p>
        </w:tc>
      </w:tr>
      <w:tr>
        <w:tblPrEx>
          <w:tblW w:w="0" w:type="auto"/>
          <w:tblInd w:w="0" w:type="dxa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eastAsia="宋体" w:hAnsi="Arial" w:cs="Arial" w:hint="eastAsia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eastAsia="等线" w:cs="Arial" w:hint="eastAsia"/>
                <w:sz w:val="22"/>
                <w:lang w:val="en-US" w:eastAsia="zh-CN"/>
              </w:rPr>
              <w:t>运维部</w:t>
            </w:r>
          </w:p>
        </w:tc>
        <w:tc>
          <w:tcPr>
            <w:tcW w:w="138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eastAsia="宋体" w:hAnsi="Arial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eastAsia="等线" w:hAnsi="Arial" w:cs="Arial"/>
                <w:sz w:val="22"/>
              </w:rPr>
              <w:t>运行监控运维工程师</w:t>
            </w:r>
          </w:p>
        </w:tc>
        <w:tc>
          <w:tcPr>
            <w:tcW w:w="1657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eastAsia="宋体" w:hAnsi="Arial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eastAsia="等线" w:hAnsi="Arial" w:cs="Arial"/>
                <w:sz w:val="22"/>
              </w:rPr>
              <w:t>1</w:t>
            </w:r>
          </w:p>
        </w:tc>
        <w:tc>
          <w:tcPr>
            <w:tcW w:w="1344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eastAsia="宋体" w:hAnsi="Arial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eastAsia="等线" w:hAnsi="Arial" w:cs="Arial"/>
                <w:sz w:val="22"/>
              </w:rPr>
              <w:t>10月</w:t>
            </w:r>
          </w:p>
        </w:tc>
        <w:tc>
          <w:tcPr>
            <w:tcW w:w="113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eastAsia="宋体" w:hAnsi="Arial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eastAsia="等线" w:hAnsi="Arial" w:cs="Arial"/>
                <w:sz w:val="22"/>
              </w:rPr>
              <w:t>内部选聘</w:t>
            </w:r>
          </w:p>
        </w:tc>
        <w:tc>
          <w:tcPr>
            <w:tcW w:w="138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eastAsia="等线" w:hAnsi="Arial" w:cs="Arial" w:hint="eastAsia"/>
                <w:snapToGrid w:val="0"/>
                <w:color w:val="000000"/>
                <w:kern w:val="0"/>
                <w:sz w:val="22"/>
                <w:szCs w:val="21"/>
                <w:lang w:val="en-US" w:eastAsia="zh-CN" w:bidi="ar-SA"/>
              </w:rPr>
            </w:pPr>
            <w:r>
              <w:rPr>
                <w:rFonts w:eastAsia="等线" w:cs="Arial" w:hint="eastAsia"/>
                <w:sz w:val="22"/>
                <w:lang w:val="en-US" w:eastAsia="zh-CN"/>
              </w:rPr>
              <w:t>已完成</w:t>
            </w:r>
          </w:p>
        </w:tc>
      </w:tr>
      <w:tr>
        <w:tblPrEx>
          <w:tblW w:w="0" w:type="auto"/>
          <w:tblInd w:w="0" w:type="dxa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eastAsia="等线" w:cs="Arial" w:hint="eastAsia"/>
                <w:sz w:val="22"/>
                <w:lang w:val="en-US" w:eastAsia="zh-CN"/>
              </w:rPr>
              <w:t>运维部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数据库运维工程师</w:t>
            </w:r>
          </w:p>
        </w:tc>
        <w:tc>
          <w:tcPr>
            <w:tcW w:w="165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1</w:t>
            </w:r>
          </w:p>
        </w:tc>
        <w:tc>
          <w:tcPr>
            <w:tcW w:w="13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12月</w:t>
            </w:r>
          </w:p>
        </w:tc>
        <w:tc>
          <w:tcPr>
            <w:tcW w:w="113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内部选聘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eastAsia="等线" w:hAnsi="Arial" w:cs="Arial" w:hint="eastAsia"/>
                <w:sz w:val="22"/>
                <w:lang w:val="en-US" w:eastAsia="zh-CN"/>
              </w:rPr>
            </w:pPr>
            <w:r>
              <w:rPr>
                <w:rFonts w:eastAsia="等线" w:cs="Arial" w:hint="eastAsia"/>
                <w:sz w:val="22"/>
                <w:lang w:val="en-US" w:eastAsia="zh-CN"/>
              </w:rPr>
              <w:t>未开始</w:t>
            </w:r>
          </w:p>
        </w:tc>
      </w:tr>
    </w:tbl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bookmarkStart w:id="17" w:name="_Toc9809"/>
      <w:bookmarkStart w:id="18" w:name="_Toc11073"/>
      <w:r>
        <w:rPr>
          <w:rFonts w:hint="eastAsia"/>
          <w:lang w:val="en-US" w:eastAsia="zh-CN"/>
        </w:rPr>
        <w:t>储备指标</w:t>
      </w:r>
      <w:r>
        <w:t>完成情况</w:t>
      </w:r>
      <w:bookmarkEnd w:id="17"/>
      <w:bookmarkEnd w:id="18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/>
        </w:rPr>
      </w:pPr>
      <w:r>
        <w:rPr>
          <w:rFonts w:hint="eastAsia"/>
          <w:lang w:val="en-US" w:eastAsia="zh-CN"/>
        </w:rPr>
        <w:t>根据储备管理制度相关规定，储备的指标为</w:t>
      </w:r>
      <w:r>
        <w:rPr>
          <w:spacing w:val="-3"/>
          <w:sz w:val="24"/>
          <w:szCs w:val="24"/>
        </w:rPr>
        <w:t>储备计划完成率</w:t>
      </w:r>
      <w:r>
        <w:rPr>
          <w:rFonts w:hint="eastAsia"/>
          <w:spacing w:val="-3"/>
          <w:sz w:val="24"/>
          <w:szCs w:val="24"/>
          <w:lang w:eastAsia="zh-CN"/>
        </w:rPr>
        <w:t>，</w:t>
      </w:r>
      <w:r>
        <w:rPr>
          <w:rFonts w:hint="eastAsia"/>
          <w:spacing w:val="-3"/>
          <w:sz w:val="24"/>
          <w:szCs w:val="24"/>
          <w:lang w:val="en-US" w:eastAsia="zh-CN"/>
        </w:rPr>
        <w:t>计算方式为</w:t>
      </w:r>
      <w:r>
        <w:rPr>
          <w:spacing w:val="-3"/>
          <w:sz w:val="24"/>
          <w:szCs w:val="24"/>
        </w:rPr>
        <w:t>实际储备人数/计</w:t>
      </w:r>
      <w:r>
        <w:rPr>
          <w:spacing w:val="-2"/>
          <w:sz w:val="24"/>
          <w:szCs w:val="24"/>
        </w:rPr>
        <w:t>划储备人数*100%</w:t>
      </w:r>
      <w:r>
        <w:rPr>
          <w:rFonts w:hint="eastAsia"/>
          <w:spacing w:val="-2"/>
          <w:sz w:val="24"/>
          <w:szCs w:val="24"/>
          <w:lang w:val="en-US" w:eastAsia="zh-CN"/>
        </w:rPr>
        <w:t>，考核频次为年度考核，储备计划按计划进行中，预计于12月完成数据库运维工程师的储备。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9" w:name="_Toc19798"/>
      <w:r>
        <w:rPr>
          <w:rFonts w:hint="eastAsia"/>
          <w:lang w:val="en-US" w:eastAsia="zh-CN"/>
        </w:rPr>
        <w:t>培训情况说明</w:t>
      </w:r>
      <w:bookmarkEnd w:id="19"/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0" w:name="_Toc25058"/>
      <w:bookmarkStart w:id="21" w:name="_Toc23322"/>
      <w:r>
        <w:rPr>
          <w:rFonts w:hint="eastAsia"/>
          <w:lang w:val="en-US" w:eastAsia="zh-CN"/>
        </w:rPr>
        <w:t>培训计划完成情况</w:t>
      </w:r>
      <w:bookmarkEnd w:id="20"/>
      <w:bookmarkEnd w:id="21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t>全年计划开展31场培训（含3场新员工培训），累计74课时；截止</w:t>
      </w:r>
      <w:r>
        <w:rPr>
          <w:rFonts w:hint="eastAsia"/>
          <w:lang w:val="en-US" w:eastAsia="zh-CN"/>
        </w:rPr>
        <w:t>10</w:t>
      </w:r>
      <w:r>
        <w:t>月，</w:t>
      </w:r>
      <w:r>
        <w:rPr>
          <w:rFonts w:hint="eastAsia"/>
          <w:lang w:val="en-US" w:eastAsia="zh-CN"/>
        </w:rPr>
        <w:t>已完成</w:t>
      </w:r>
      <w:r>
        <w:t>完成</w:t>
      </w:r>
      <w:r>
        <w:rPr>
          <w:rFonts w:hint="eastAsia"/>
          <w:lang w:val="en-US" w:eastAsia="zh-CN"/>
        </w:rPr>
        <w:t>27</w:t>
      </w:r>
      <w:r>
        <w:t>场培训（含</w:t>
      </w:r>
      <w:r>
        <w:rPr>
          <w:rFonts w:hint="eastAsia"/>
          <w:lang w:val="en-US" w:eastAsia="zh-CN"/>
        </w:rPr>
        <w:t>3</w:t>
      </w:r>
      <w:r>
        <w:t>场新员工培训），共计</w:t>
      </w:r>
      <w:r>
        <w:rPr>
          <w:rFonts w:hint="eastAsia"/>
          <w:lang w:val="en-US" w:eastAsia="zh-CN"/>
        </w:rPr>
        <w:t>64</w:t>
      </w:r>
      <w:r>
        <w:t>课时，其中内部讲师授课1</w:t>
      </w:r>
      <w:r>
        <w:rPr>
          <w:rFonts w:hint="eastAsia"/>
          <w:lang w:val="en-US" w:eastAsia="zh-CN"/>
        </w:rPr>
        <w:t>8</w:t>
      </w:r>
      <w:r>
        <w:t>场，外部讲师</w:t>
      </w:r>
      <w:r>
        <w:rPr>
          <w:rFonts w:hint="eastAsia"/>
          <w:lang w:val="en-US" w:eastAsia="zh-CN"/>
        </w:rPr>
        <w:t>8</w:t>
      </w:r>
      <w:r>
        <w:t>场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外派1场</w:t>
      </w:r>
      <w:r>
        <w:t>。培训内容涵盖管理类（4D卓越团队、情景领导</w:t>
      </w:r>
      <w:r>
        <w:rPr>
          <w:rFonts w:hint="eastAsia"/>
          <w:lang w:eastAsia="zh-CN"/>
        </w:rPr>
        <w:t>、</w:t>
      </w:r>
      <w:r>
        <w:rPr>
          <w:rFonts w:ascii="Arial" w:eastAsia="等线" w:hAnsi="Arial" w:cs="Arial"/>
          <w:sz w:val="22"/>
        </w:rPr>
        <w:t>目标设定与沟通</w:t>
      </w:r>
      <w:r>
        <w:rPr>
          <w:rFonts w:eastAsia="等线" w:cs="Arial" w:hint="eastAsia"/>
          <w:sz w:val="22"/>
          <w:lang w:eastAsia="zh-CN"/>
        </w:rPr>
        <w:t>、</w:t>
      </w:r>
      <w:r>
        <w:rPr>
          <w:rFonts w:ascii="Arial" w:eastAsia="等线" w:hAnsi="Arial" w:cs="Arial"/>
          <w:sz w:val="22"/>
        </w:rPr>
        <w:t>团队变革领导力</w:t>
      </w:r>
      <w:r>
        <w:t>等）、规范类（ITSS运维服务体系等）、技术类（Oracle数据库优化、系统监控工具使用等），实现培训过程签到、课件存档及讲师评价全流程管理。</w:t>
      </w:r>
      <w:r>
        <w:rPr>
          <w:rFonts w:hint="eastAsia"/>
          <w:lang w:val="en-US" w:eastAsia="zh-CN"/>
        </w:rPr>
        <w:t>完成情况如下</w:t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</w:p>
    <w:tbl>
      <w:tblPr>
        <w:tblStyle w:val="TableNormal"/>
        <w:tblW w:w="9480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751"/>
        <w:gridCol w:w="1212"/>
        <w:gridCol w:w="1592"/>
        <w:gridCol w:w="1185"/>
        <w:gridCol w:w="1185"/>
        <w:gridCol w:w="1185"/>
        <w:gridCol w:w="1185"/>
        <w:gridCol w:w="1185"/>
      </w:tblGrid>
      <w:tr>
        <w:tblPrEx>
          <w:tblW w:w="9480" w:type="dxa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75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序号</w:t>
            </w:r>
          </w:p>
        </w:tc>
        <w:tc>
          <w:tcPr>
            <w:tcW w:w="121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培训类别</w:t>
            </w:r>
          </w:p>
        </w:tc>
        <w:tc>
          <w:tcPr>
            <w:tcW w:w="159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培训内容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培训对象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计划培训时间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培训讲师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计划课时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eastAsia="等线" w:hAnsi="Arial" w:cs="Arial" w:hint="default"/>
                <w:sz w:val="22"/>
                <w:lang w:val="en-US" w:eastAsia="zh-CN"/>
              </w:rPr>
            </w:pPr>
            <w:r>
              <w:rPr>
                <w:rFonts w:eastAsia="等线" w:cs="Arial" w:hint="eastAsia"/>
                <w:sz w:val="22"/>
                <w:lang w:val="en-US" w:eastAsia="zh-CN"/>
              </w:rPr>
              <w:t>完成情况</w:t>
            </w:r>
          </w:p>
        </w:tc>
      </w:tr>
      <w:tr>
        <w:tblPrEx>
          <w:tblW w:w="9480" w:type="dxa"/>
          <w:tblInd w:w="0" w:type="dxa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75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hanging="425" w:leftChars="0" w:firstLineChars="0"/>
              <w:jc w:val="left"/>
              <w:textAlignment w:val="baseline"/>
            </w:pPr>
          </w:p>
        </w:tc>
        <w:tc>
          <w:tcPr>
            <w:tcW w:w="121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管理类</w:t>
            </w:r>
          </w:p>
        </w:tc>
        <w:tc>
          <w:tcPr>
            <w:tcW w:w="159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新员工入职培训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新员工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3/6/9月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内部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2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eastAsia="等线" w:hAnsi="Arial" w:cs="Arial" w:hint="eastAsia"/>
                <w:sz w:val="22"/>
                <w:lang w:val="en-US" w:eastAsia="zh-CN"/>
              </w:rPr>
            </w:pPr>
            <w:r>
              <w:rPr>
                <w:rFonts w:eastAsia="等线" w:cs="Arial" w:hint="eastAsia"/>
                <w:sz w:val="22"/>
                <w:lang w:val="en-US" w:eastAsia="zh-CN"/>
              </w:rPr>
              <w:t>已完成</w:t>
            </w:r>
          </w:p>
        </w:tc>
      </w:tr>
      <w:tr>
        <w:tblPrEx>
          <w:tblW w:w="9480" w:type="dxa"/>
          <w:tblInd w:w="0" w:type="dxa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75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hanging="425" w:leftChars="0" w:firstLineChars="0"/>
              <w:jc w:val="left"/>
              <w:textAlignment w:val="baseline"/>
            </w:pPr>
          </w:p>
        </w:tc>
        <w:tc>
          <w:tcPr>
            <w:tcW w:w="121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管理类</w:t>
            </w:r>
          </w:p>
        </w:tc>
        <w:tc>
          <w:tcPr>
            <w:tcW w:w="159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4D卓越团队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管理&amp;储备人员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3月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内部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2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eastAsia="等线" w:hAnsi="Arial" w:cs="Arial"/>
                <w:sz w:val="22"/>
              </w:rPr>
            </w:pPr>
            <w:r>
              <w:rPr>
                <w:rFonts w:eastAsia="等线" w:cs="Arial" w:hint="eastAsia"/>
                <w:sz w:val="22"/>
                <w:lang w:val="en-US" w:eastAsia="zh-CN"/>
              </w:rPr>
              <w:t>已完成</w:t>
            </w:r>
          </w:p>
        </w:tc>
      </w:tr>
      <w:tr>
        <w:tblPrEx>
          <w:tblW w:w="9480" w:type="dxa"/>
          <w:tblInd w:w="0" w:type="dxa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75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hanging="425" w:leftChars="0" w:firstLineChars="0"/>
              <w:jc w:val="left"/>
              <w:textAlignment w:val="baseline"/>
            </w:pPr>
          </w:p>
        </w:tc>
        <w:tc>
          <w:tcPr>
            <w:tcW w:w="121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管理类</w:t>
            </w:r>
          </w:p>
        </w:tc>
        <w:tc>
          <w:tcPr>
            <w:tcW w:w="159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情景领导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管理&amp;储备人员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4月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内部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2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eastAsia="等线" w:hAnsi="Arial" w:cs="Arial"/>
                <w:sz w:val="22"/>
              </w:rPr>
            </w:pPr>
            <w:r>
              <w:rPr>
                <w:rFonts w:eastAsia="等线" w:cs="Arial" w:hint="eastAsia"/>
                <w:sz w:val="22"/>
                <w:lang w:val="en-US" w:eastAsia="zh-CN"/>
              </w:rPr>
              <w:t>已完成</w:t>
            </w:r>
          </w:p>
        </w:tc>
      </w:tr>
      <w:tr>
        <w:tblPrEx>
          <w:tblW w:w="9480" w:type="dxa"/>
          <w:tblInd w:w="0" w:type="dxa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75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hanging="425" w:leftChars="0" w:firstLineChars="0"/>
              <w:jc w:val="left"/>
              <w:textAlignment w:val="baseline"/>
            </w:pPr>
          </w:p>
        </w:tc>
        <w:tc>
          <w:tcPr>
            <w:tcW w:w="121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管理类</w:t>
            </w:r>
          </w:p>
        </w:tc>
        <w:tc>
          <w:tcPr>
            <w:tcW w:w="159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目标设定与沟通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管理&amp;储备人员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5月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内部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2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eastAsia="等线" w:hAnsi="Arial" w:cs="Arial"/>
                <w:sz w:val="22"/>
              </w:rPr>
            </w:pPr>
            <w:r>
              <w:rPr>
                <w:rFonts w:eastAsia="等线" w:cs="Arial" w:hint="eastAsia"/>
                <w:sz w:val="22"/>
                <w:lang w:val="en-US" w:eastAsia="zh-CN"/>
              </w:rPr>
              <w:t>已完成</w:t>
            </w:r>
          </w:p>
        </w:tc>
      </w:tr>
      <w:tr>
        <w:tblPrEx>
          <w:tblW w:w="9480" w:type="dxa"/>
          <w:tblInd w:w="0" w:type="dxa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75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hanging="425" w:leftChars="0" w:firstLineChars="0"/>
              <w:jc w:val="left"/>
              <w:textAlignment w:val="baseline"/>
            </w:pPr>
          </w:p>
        </w:tc>
        <w:tc>
          <w:tcPr>
            <w:tcW w:w="121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管理类</w:t>
            </w:r>
          </w:p>
        </w:tc>
        <w:tc>
          <w:tcPr>
            <w:tcW w:w="159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团队变革领导力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管理&amp;储备人员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6月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外部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3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eastAsia="等线" w:hAnsi="Arial" w:cs="Arial"/>
                <w:sz w:val="22"/>
              </w:rPr>
            </w:pPr>
            <w:r>
              <w:rPr>
                <w:rFonts w:eastAsia="等线" w:cs="Arial" w:hint="eastAsia"/>
                <w:sz w:val="22"/>
                <w:lang w:val="en-US" w:eastAsia="zh-CN"/>
              </w:rPr>
              <w:t>已完成</w:t>
            </w:r>
          </w:p>
        </w:tc>
      </w:tr>
      <w:tr>
        <w:tblPrEx>
          <w:tblW w:w="9480" w:type="dxa"/>
          <w:tblInd w:w="0" w:type="dxa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75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hanging="425" w:leftChars="0" w:firstLineChars="0"/>
              <w:jc w:val="left"/>
              <w:textAlignment w:val="baseline"/>
              <w:rPr>
                <w:rFonts w:ascii="Arial" w:eastAsia="等线" w:hAnsi="Arial" w:cs="Arial"/>
                <w:sz w:val="22"/>
              </w:rPr>
            </w:pPr>
          </w:p>
        </w:tc>
        <w:tc>
          <w:tcPr>
            <w:tcW w:w="1212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eastAsia="宋体" w:hAnsi="Arial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eastAsia="等线" w:hAnsi="Arial" w:cs="Arial"/>
                <w:sz w:val="22"/>
              </w:rPr>
              <w:t>管理类</w:t>
            </w:r>
          </w:p>
        </w:tc>
        <w:tc>
          <w:tcPr>
            <w:tcW w:w="1592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eastAsia="宋体" w:hAnsi="Arial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eastAsia="等线" w:hAnsi="Arial" w:cs="Arial"/>
                <w:sz w:val="22"/>
              </w:rPr>
              <w:t>新员工入职培训</w:t>
            </w:r>
          </w:p>
        </w:tc>
        <w:tc>
          <w:tcPr>
            <w:tcW w:w="1185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eastAsia="宋体" w:hAnsi="Arial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eastAsia="等线" w:hAnsi="Arial" w:cs="Arial"/>
                <w:sz w:val="22"/>
              </w:rPr>
              <w:t>新员工</w:t>
            </w:r>
          </w:p>
        </w:tc>
        <w:tc>
          <w:tcPr>
            <w:tcW w:w="1185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eastAsia="宋体" w:hAnsi="Arial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eastAsia="等线" w:hAnsi="Arial" w:cs="Arial"/>
                <w:sz w:val="22"/>
              </w:rPr>
              <w:t>6月</w:t>
            </w:r>
          </w:p>
        </w:tc>
        <w:tc>
          <w:tcPr>
            <w:tcW w:w="1185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eastAsia="宋体" w:hAnsi="Arial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eastAsia="等线" w:hAnsi="Arial" w:cs="Arial"/>
                <w:sz w:val="22"/>
              </w:rPr>
              <w:t>内部</w:t>
            </w:r>
          </w:p>
        </w:tc>
        <w:tc>
          <w:tcPr>
            <w:tcW w:w="1185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eastAsia="宋体" w:hAnsi="Arial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eastAsia="等线" w:hAnsi="Arial" w:cs="Arial"/>
                <w:sz w:val="22"/>
              </w:rPr>
              <w:t>2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eastAsia="等线" w:cs="Arial" w:hint="eastAsia"/>
                <w:sz w:val="22"/>
                <w:lang w:val="en-US" w:eastAsia="zh-CN"/>
              </w:rPr>
            </w:pPr>
            <w:r>
              <w:rPr>
                <w:rFonts w:eastAsia="等线" w:cs="Arial" w:hint="eastAsia"/>
                <w:sz w:val="22"/>
                <w:lang w:val="en-US" w:eastAsia="zh-CN"/>
              </w:rPr>
              <w:t>已完成</w:t>
            </w:r>
          </w:p>
        </w:tc>
      </w:tr>
      <w:tr>
        <w:tblPrEx>
          <w:tblW w:w="9480" w:type="dxa"/>
          <w:tblInd w:w="0" w:type="dxa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75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hanging="425" w:leftChars="0" w:firstLineChars="0"/>
              <w:jc w:val="left"/>
              <w:textAlignment w:val="baseline"/>
            </w:pPr>
          </w:p>
        </w:tc>
        <w:tc>
          <w:tcPr>
            <w:tcW w:w="121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管理类</w:t>
            </w:r>
          </w:p>
        </w:tc>
        <w:tc>
          <w:tcPr>
            <w:tcW w:w="159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教练型管理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管理&amp;储备人员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7月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外部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3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eastAsia="等线" w:hAnsi="Arial" w:cs="Arial"/>
                <w:sz w:val="22"/>
              </w:rPr>
            </w:pPr>
            <w:r>
              <w:rPr>
                <w:rFonts w:eastAsia="等线" w:cs="Arial" w:hint="eastAsia"/>
                <w:sz w:val="22"/>
                <w:lang w:val="en-US" w:eastAsia="zh-CN"/>
              </w:rPr>
              <w:t>已完成</w:t>
            </w:r>
          </w:p>
        </w:tc>
      </w:tr>
      <w:tr>
        <w:tblPrEx>
          <w:tblW w:w="9480" w:type="dxa"/>
          <w:tblInd w:w="0" w:type="dxa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75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hanging="425" w:leftChars="0" w:firstLineChars="0"/>
              <w:jc w:val="left"/>
              <w:textAlignment w:val="baseline"/>
            </w:pPr>
          </w:p>
        </w:tc>
        <w:tc>
          <w:tcPr>
            <w:tcW w:w="121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管理类</w:t>
            </w:r>
          </w:p>
        </w:tc>
        <w:tc>
          <w:tcPr>
            <w:tcW w:w="159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高效能人士时间管理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全员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8月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外部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2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eastAsia="等线" w:hAnsi="Arial" w:cs="Arial"/>
                <w:sz w:val="22"/>
              </w:rPr>
            </w:pPr>
            <w:r>
              <w:rPr>
                <w:rFonts w:eastAsia="等线" w:cs="Arial" w:hint="eastAsia"/>
                <w:sz w:val="22"/>
                <w:lang w:val="en-US" w:eastAsia="zh-CN"/>
              </w:rPr>
              <w:t>已完成</w:t>
            </w:r>
          </w:p>
        </w:tc>
      </w:tr>
      <w:tr>
        <w:tblPrEx>
          <w:tblW w:w="9480" w:type="dxa"/>
          <w:tblInd w:w="0" w:type="dxa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75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hanging="425" w:leftChars="0" w:firstLineChars="0"/>
              <w:jc w:val="left"/>
              <w:textAlignment w:val="baseline"/>
            </w:pPr>
          </w:p>
        </w:tc>
        <w:tc>
          <w:tcPr>
            <w:tcW w:w="121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管理类</w:t>
            </w:r>
          </w:p>
        </w:tc>
        <w:tc>
          <w:tcPr>
            <w:tcW w:w="159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沟通_影响技术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全员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9月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外部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2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eastAsia="等线" w:hAnsi="Arial" w:cs="Arial"/>
                <w:sz w:val="22"/>
              </w:rPr>
            </w:pPr>
            <w:r>
              <w:rPr>
                <w:rFonts w:eastAsia="等线" w:cs="Arial" w:hint="eastAsia"/>
                <w:sz w:val="22"/>
                <w:lang w:val="en-US" w:eastAsia="zh-CN"/>
              </w:rPr>
              <w:t>已完成</w:t>
            </w:r>
          </w:p>
        </w:tc>
      </w:tr>
      <w:tr>
        <w:tblPrEx>
          <w:tblW w:w="9480" w:type="dxa"/>
          <w:tblInd w:w="0" w:type="dxa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75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hanging="425" w:leftChars="0" w:firstLineChars="0"/>
              <w:jc w:val="left"/>
              <w:textAlignment w:val="baseline"/>
              <w:rPr>
                <w:rFonts w:ascii="Arial" w:eastAsia="等线" w:hAnsi="Arial" w:cs="Arial"/>
                <w:sz w:val="22"/>
              </w:rPr>
            </w:pPr>
          </w:p>
        </w:tc>
        <w:tc>
          <w:tcPr>
            <w:tcW w:w="1212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eastAsia="宋体" w:hAnsi="Arial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eastAsia="等线" w:hAnsi="Arial" w:cs="Arial"/>
                <w:sz w:val="22"/>
              </w:rPr>
              <w:t>管理类</w:t>
            </w:r>
          </w:p>
        </w:tc>
        <w:tc>
          <w:tcPr>
            <w:tcW w:w="1592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eastAsia="宋体" w:hAnsi="Arial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eastAsia="等线" w:hAnsi="Arial" w:cs="Arial"/>
                <w:sz w:val="22"/>
              </w:rPr>
              <w:t>新员工入职培训</w:t>
            </w:r>
          </w:p>
        </w:tc>
        <w:tc>
          <w:tcPr>
            <w:tcW w:w="1185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eastAsia="宋体" w:hAnsi="Arial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eastAsia="等线" w:hAnsi="Arial" w:cs="Arial"/>
                <w:sz w:val="22"/>
              </w:rPr>
              <w:t>新员工</w:t>
            </w:r>
          </w:p>
        </w:tc>
        <w:tc>
          <w:tcPr>
            <w:tcW w:w="1185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eastAsia="宋体" w:hAnsi="Arial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eastAsia="等线" w:hAnsi="Arial" w:cs="Arial"/>
                <w:sz w:val="22"/>
              </w:rPr>
              <w:t>9月</w:t>
            </w:r>
          </w:p>
        </w:tc>
        <w:tc>
          <w:tcPr>
            <w:tcW w:w="1185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eastAsia="宋体" w:hAnsi="Arial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eastAsia="等线" w:hAnsi="Arial" w:cs="Arial"/>
                <w:sz w:val="22"/>
              </w:rPr>
              <w:t>内部</w:t>
            </w:r>
          </w:p>
        </w:tc>
        <w:tc>
          <w:tcPr>
            <w:tcW w:w="1185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eastAsia="宋体" w:hAnsi="Arial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eastAsia="等线" w:hAnsi="Arial" w:cs="Arial"/>
                <w:sz w:val="22"/>
              </w:rPr>
              <w:t>2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eastAsia="等线" w:cs="Arial" w:hint="eastAsia"/>
                <w:sz w:val="22"/>
                <w:lang w:val="en-US" w:eastAsia="zh-CN"/>
              </w:rPr>
            </w:pPr>
            <w:r>
              <w:rPr>
                <w:rFonts w:eastAsia="等线" w:cs="Arial" w:hint="eastAsia"/>
                <w:sz w:val="22"/>
                <w:lang w:val="en-US" w:eastAsia="zh-CN"/>
              </w:rPr>
              <w:t>已完成</w:t>
            </w:r>
          </w:p>
        </w:tc>
      </w:tr>
      <w:tr>
        <w:tblPrEx>
          <w:tblW w:w="9480" w:type="dxa"/>
          <w:tblInd w:w="0" w:type="dxa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75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hanging="425" w:leftChars="0" w:firstLineChars="0"/>
              <w:jc w:val="left"/>
              <w:textAlignment w:val="baseline"/>
            </w:pPr>
          </w:p>
        </w:tc>
        <w:tc>
          <w:tcPr>
            <w:tcW w:w="121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资质类</w:t>
            </w:r>
          </w:p>
        </w:tc>
        <w:tc>
          <w:tcPr>
            <w:tcW w:w="159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ITSS应用经理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储备人员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10月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外派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8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eastAsia="等线" w:hAnsi="Arial" w:cs="Arial"/>
                <w:sz w:val="22"/>
              </w:rPr>
            </w:pPr>
            <w:r>
              <w:rPr>
                <w:rFonts w:eastAsia="等线" w:cs="Arial" w:hint="eastAsia"/>
                <w:sz w:val="22"/>
                <w:lang w:val="en-US" w:eastAsia="zh-CN"/>
              </w:rPr>
              <w:t>已完成</w:t>
            </w:r>
          </w:p>
        </w:tc>
      </w:tr>
      <w:tr>
        <w:tblPrEx>
          <w:tblW w:w="9480" w:type="dxa"/>
          <w:tblInd w:w="0" w:type="dxa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75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hanging="425" w:leftChars="0" w:firstLineChars="0"/>
              <w:jc w:val="left"/>
              <w:textAlignment w:val="baseline"/>
            </w:pPr>
          </w:p>
        </w:tc>
        <w:tc>
          <w:tcPr>
            <w:tcW w:w="121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规范类</w:t>
            </w:r>
          </w:p>
        </w:tc>
        <w:tc>
          <w:tcPr>
            <w:tcW w:w="159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ITSS运维服务体系1.2版培训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全员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1月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内部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4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eastAsia="等线" w:hAnsi="Arial" w:cs="Arial"/>
                <w:sz w:val="22"/>
              </w:rPr>
            </w:pPr>
            <w:r>
              <w:rPr>
                <w:rFonts w:eastAsia="等线" w:cs="Arial" w:hint="eastAsia"/>
                <w:sz w:val="22"/>
                <w:lang w:val="en-US" w:eastAsia="zh-CN"/>
              </w:rPr>
              <w:t>已完成</w:t>
            </w:r>
          </w:p>
        </w:tc>
      </w:tr>
      <w:tr>
        <w:tblPrEx>
          <w:tblW w:w="9480" w:type="dxa"/>
          <w:tblInd w:w="0" w:type="dxa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75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hanging="425" w:leftChars="0" w:firstLineChars="0"/>
              <w:jc w:val="left"/>
              <w:textAlignment w:val="baseline"/>
            </w:pPr>
          </w:p>
        </w:tc>
        <w:tc>
          <w:tcPr>
            <w:tcW w:w="121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规范类</w:t>
            </w:r>
          </w:p>
        </w:tc>
        <w:tc>
          <w:tcPr>
            <w:tcW w:w="159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运维人员岗位要求及基本技能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全员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2月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内部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2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eastAsia="等线" w:hAnsi="Arial" w:cs="Arial"/>
                <w:sz w:val="22"/>
              </w:rPr>
            </w:pPr>
            <w:r>
              <w:rPr>
                <w:rFonts w:eastAsia="等线" w:cs="Arial" w:hint="eastAsia"/>
                <w:sz w:val="22"/>
                <w:lang w:val="en-US" w:eastAsia="zh-CN"/>
              </w:rPr>
              <w:t>已完成</w:t>
            </w:r>
          </w:p>
        </w:tc>
      </w:tr>
      <w:tr>
        <w:tblPrEx>
          <w:tblW w:w="9480" w:type="dxa"/>
          <w:tblInd w:w="0" w:type="dxa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75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hanging="425" w:leftChars="0" w:firstLineChars="0"/>
              <w:jc w:val="left"/>
              <w:textAlignment w:val="baseline"/>
            </w:pPr>
          </w:p>
        </w:tc>
        <w:tc>
          <w:tcPr>
            <w:tcW w:w="121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规范类</w:t>
            </w:r>
          </w:p>
        </w:tc>
        <w:tc>
          <w:tcPr>
            <w:tcW w:w="159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运维人员入场准备工作指南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运维服务人员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3月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内部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2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eastAsia="等线" w:hAnsi="Arial" w:cs="Arial"/>
                <w:sz w:val="22"/>
              </w:rPr>
            </w:pPr>
            <w:r>
              <w:rPr>
                <w:rFonts w:eastAsia="等线" w:cs="Arial" w:hint="eastAsia"/>
                <w:sz w:val="22"/>
                <w:lang w:val="en-US" w:eastAsia="zh-CN"/>
              </w:rPr>
              <w:t>已完成</w:t>
            </w:r>
          </w:p>
        </w:tc>
      </w:tr>
      <w:tr>
        <w:tblPrEx>
          <w:tblW w:w="9480" w:type="dxa"/>
          <w:tblInd w:w="0" w:type="dxa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75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hanging="425" w:leftChars="0" w:firstLineChars="0"/>
              <w:jc w:val="left"/>
              <w:textAlignment w:val="baseline"/>
            </w:pPr>
          </w:p>
        </w:tc>
        <w:tc>
          <w:tcPr>
            <w:tcW w:w="121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规范类</w:t>
            </w:r>
          </w:p>
        </w:tc>
        <w:tc>
          <w:tcPr>
            <w:tcW w:w="159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运维项目管理规范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运维服务人员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4月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内部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2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eastAsia="等线" w:hAnsi="Arial" w:cs="Arial"/>
                <w:sz w:val="22"/>
              </w:rPr>
            </w:pPr>
            <w:r>
              <w:rPr>
                <w:rFonts w:eastAsia="等线" w:cs="Arial" w:hint="eastAsia"/>
                <w:sz w:val="22"/>
                <w:lang w:val="en-US" w:eastAsia="zh-CN"/>
              </w:rPr>
              <w:t>已完成</w:t>
            </w:r>
          </w:p>
        </w:tc>
      </w:tr>
      <w:tr>
        <w:tblPrEx>
          <w:tblW w:w="9480" w:type="dxa"/>
          <w:tblInd w:w="0" w:type="dxa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75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hanging="425" w:leftChars="0" w:firstLineChars="0"/>
              <w:jc w:val="left"/>
              <w:textAlignment w:val="baseline"/>
            </w:pPr>
          </w:p>
        </w:tc>
        <w:tc>
          <w:tcPr>
            <w:tcW w:w="121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规范类</w:t>
            </w:r>
          </w:p>
        </w:tc>
        <w:tc>
          <w:tcPr>
            <w:tcW w:w="159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服务报告编写指南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运维服务人员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7月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内部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2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eastAsia="等线" w:hAnsi="Arial" w:cs="Arial"/>
                <w:sz w:val="22"/>
              </w:rPr>
            </w:pPr>
            <w:r>
              <w:rPr>
                <w:rFonts w:eastAsia="等线" w:cs="Arial" w:hint="eastAsia"/>
                <w:sz w:val="22"/>
                <w:lang w:val="en-US" w:eastAsia="zh-CN"/>
              </w:rPr>
              <w:t>已完成</w:t>
            </w:r>
          </w:p>
        </w:tc>
      </w:tr>
      <w:tr>
        <w:tblPrEx>
          <w:tblW w:w="9480" w:type="dxa"/>
          <w:tblInd w:w="0" w:type="dxa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75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hanging="425" w:leftChars="0" w:firstLineChars="0"/>
              <w:jc w:val="left"/>
              <w:textAlignment w:val="baseline"/>
            </w:pPr>
          </w:p>
        </w:tc>
        <w:tc>
          <w:tcPr>
            <w:tcW w:w="121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规范类</w:t>
            </w:r>
          </w:p>
        </w:tc>
        <w:tc>
          <w:tcPr>
            <w:tcW w:w="159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项目经理实战与提高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运维服务人员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9月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内部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2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eastAsia="等线" w:hAnsi="Arial" w:cs="Arial"/>
                <w:sz w:val="22"/>
              </w:rPr>
            </w:pPr>
            <w:r>
              <w:rPr>
                <w:rFonts w:eastAsia="等线" w:cs="Arial" w:hint="eastAsia"/>
                <w:sz w:val="22"/>
                <w:lang w:val="en-US" w:eastAsia="zh-CN"/>
              </w:rPr>
              <w:t>已完成</w:t>
            </w:r>
          </w:p>
        </w:tc>
      </w:tr>
      <w:tr>
        <w:tblPrEx>
          <w:tblW w:w="9480" w:type="dxa"/>
          <w:tblInd w:w="0" w:type="dxa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75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hanging="425" w:leftChars="0" w:firstLineChars="0"/>
              <w:jc w:val="left"/>
              <w:textAlignment w:val="baseline"/>
            </w:pPr>
          </w:p>
        </w:tc>
        <w:tc>
          <w:tcPr>
            <w:tcW w:w="121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技术类</w:t>
            </w:r>
          </w:p>
        </w:tc>
        <w:tc>
          <w:tcPr>
            <w:tcW w:w="159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《信息通信一体化调度运行支撑平台SG-I6000》业务功能介绍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运维服务人员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1月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内部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2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eastAsia="等线" w:hAnsi="Arial" w:cs="Arial"/>
                <w:sz w:val="22"/>
              </w:rPr>
            </w:pPr>
            <w:r>
              <w:rPr>
                <w:rFonts w:eastAsia="等线" w:cs="Arial" w:hint="eastAsia"/>
                <w:sz w:val="22"/>
                <w:lang w:val="en-US" w:eastAsia="zh-CN"/>
              </w:rPr>
              <w:t>已完成</w:t>
            </w:r>
          </w:p>
        </w:tc>
      </w:tr>
      <w:tr>
        <w:tblPrEx>
          <w:tblW w:w="9480" w:type="dxa"/>
          <w:tblInd w:w="0" w:type="dxa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75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hanging="425" w:leftChars="0" w:firstLineChars="0"/>
              <w:jc w:val="left"/>
              <w:textAlignment w:val="baseline"/>
            </w:pPr>
          </w:p>
        </w:tc>
        <w:tc>
          <w:tcPr>
            <w:tcW w:w="121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技术类</w:t>
            </w:r>
          </w:p>
        </w:tc>
        <w:tc>
          <w:tcPr>
            <w:tcW w:w="159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信息系统性能监控工具使用介绍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运维服务人员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2月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内部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1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eastAsia="等线" w:hAnsi="Arial" w:cs="Arial"/>
                <w:sz w:val="22"/>
              </w:rPr>
            </w:pPr>
            <w:r>
              <w:rPr>
                <w:rFonts w:eastAsia="等线" w:cs="Arial" w:hint="eastAsia"/>
                <w:sz w:val="22"/>
                <w:lang w:val="en-US" w:eastAsia="zh-CN"/>
              </w:rPr>
              <w:t>已完成</w:t>
            </w:r>
          </w:p>
        </w:tc>
      </w:tr>
      <w:tr>
        <w:tblPrEx>
          <w:tblW w:w="9480" w:type="dxa"/>
          <w:tblInd w:w="0" w:type="dxa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75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hanging="425" w:leftChars="0" w:firstLineChars="0"/>
              <w:jc w:val="left"/>
              <w:textAlignment w:val="baseline"/>
            </w:pPr>
          </w:p>
        </w:tc>
        <w:tc>
          <w:tcPr>
            <w:tcW w:w="121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技术类</w:t>
            </w:r>
          </w:p>
        </w:tc>
        <w:tc>
          <w:tcPr>
            <w:tcW w:w="159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资产管理平台工具使用介绍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运维服务人员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3月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内部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1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eastAsia="等线" w:hAnsi="Arial" w:cs="Arial"/>
                <w:sz w:val="22"/>
              </w:rPr>
            </w:pPr>
            <w:r>
              <w:rPr>
                <w:rFonts w:eastAsia="等线" w:cs="Arial" w:hint="eastAsia"/>
                <w:sz w:val="22"/>
                <w:lang w:val="en-US" w:eastAsia="zh-CN"/>
              </w:rPr>
              <w:t>已完成</w:t>
            </w:r>
          </w:p>
        </w:tc>
      </w:tr>
      <w:tr>
        <w:tblPrEx>
          <w:tblW w:w="9480" w:type="dxa"/>
          <w:tblInd w:w="0" w:type="dxa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75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hanging="425" w:leftChars="0" w:firstLineChars="0"/>
              <w:jc w:val="left"/>
              <w:textAlignment w:val="baseline"/>
            </w:pPr>
          </w:p>
        </w:tc>
        <w:tc>
          <w:tcPr>
            <w:tcW w:w="121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技术类</w:t>
            </w:r>
          </w:p>
        </w:tc>
        <w:tc>
          <w:tcPr>
            <w:tcW w:w="159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Oracle数据库性能优化及故障排除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运维服务人员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4月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外部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2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eastAsia="等线" w:hAnsi="Arial" w:cs="Arial"/>
                <w:sz w:val="22"/>
              </w:rPr>
            </w:pPr>
            <w:r>
              <w:rPr>
                <w:rFonts w:eastAsia="等线" w:cs="Arial" w:hint="eastAsia"/>
                <w:sz w:val="22"/>
                <w:lang w:val="en-US" w:eastAsia="zh-CN"/>
              </w:rPr>
              <w:t>已完成</w:t>
            </w:r>
          </w:p>
        </w:tc>
      </w:tr>
      <w:tr>
        <w:tblPrEx>
          <w:tblW w:w="9480" w:type="dxa"/>
          <w:tblInd w:w="0" w:type="dxa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75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hanging="425" w:leftChars="0" w:firstLineChars="0"/>
              <w:jc w:val="left"/>
              <w:textAlignment w:val="baseline"/>
            </w:pPr>
          </w:p>
        </w:tc>
        <w:tc>
          <w:tcPr>
            <w:tcW w:w="121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技术类</w:t>
            </w:r>
          </w:p>
        </w:tc>
        <w:tc>
          <w:tcPr>
            <w:tcW w:w="159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软件架构设计原则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运维服务人员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7月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内部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2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eastAsia="等线" w:hAnsi="Arial" w:cs="Arial"/>
                <w:sz w:val="22"/>
              </w:rPr>
            </w:pPr>
            <w:r>
              <w:rPr>
                <w:rFonts w:eastAsia="等线" w:cs="Arial" w:hint="eastAsia"/>
                <w:sz w:val="22"/>
                <w:lang w:val="en-US" w:eastAsia="zh-CN"/>
              </w:rPr>
              <w:t>已完成</w:t>
            </w:r>
          </w:p>
        </w:tc>
      </w:tr>
      <w:tr>
        <w:tblPrEx>
          <w:tblW w:w="9480" w:type="dxa"/>
          <w:tblInd w:w="0" w:type="dxa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75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hanging="425" w:leftChars="0" w:firstLineChars="0"/>
              <w:jc w:val="left"/>
              <w:textAlignment w:val="baseline"/>
            </w:pPr>
          </w:p>
        </w:tc>
        <w:tc>
          <w:tcPr>
            <w:tcW w:w="121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技术类</w:t>
            </w:r>
          </w:p>
        </w:tc>
        <w:tc>
          <w:tcPr>
            <w:tcW w:w="159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JavaScript编程与应用开发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运维服务人员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8月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外部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2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eastAsia="等线" w:hAnsi="Arial" w:cs="Arial"/>
                <w:sz w:val="22"/>
              </w:rPr>
            </w:pPr>
            <w:r>
              <w:rPr>
                <w:rFonts w:eastAsia="等线" w:cs="Arial" w:hint="eastAsia"/>
                <w:sz w:val="22"/>
                <w:lang w:val="en-US" w:eastAsia="zh-CN"/>
              </w:rPr>
              <w:t>已完成</w:t>
            </w:r>
          </w:p>
        </w:tc>
      </w:tr>
      <w:tr>
        <w:tblPrEx>
          <w:tblW w:w="9480" w:type="dxa"/>
          <w:tblInd w:w="0" w:type="dxa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75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hanging="425" w:leftChars="0" w:firstLineChars="0"/>
              <w:jc w:val="left"/>
              <w:textAlignment w:val="baseline"/>
            </w:pPr>
          </w:p>
        </w:tc>
        <w:tc>
          <w:tcPr>
            <w:tcW w:w="121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技术类</w:t>
            </w:r>
          </w:p>
        </w:tc>
        <w:tc>
          <w:tcPr>
            <w:tcW w:w="159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阿里数据中台业务讨论会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运维服务人员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9月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内部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2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eastAsia="等线" w:hAnsi="Arial" w:cs="Arial"/>
                <w:sz w:val="22"/>
              </w:rPr>
            </w:pPr>
            <w:r>
              <w:rPr>
                <w:rFonts w:eastAsia="等线" w:cs="Arial" w:hint="eastAsia"/>
                <w:sz w:val="22"/>
                <w:lang w:val="en-US" w:eastAsia="zh-CN"/>
              </w:rPr>
              <w:t>已完成</w:t>
            </w:r>
          </w:p>
        </w:tc>
      </w:tr>
      <w:tr>
        <w:tblPrEx>
          <w:tblW w:w="9480" w:type="dxa"/>
          <w:tblInd w:w="0" w:type="dxa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75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hanging="425" w:leftChars="0" w:firstLineChars="0"/>
              <w:jc w:val="left"/>
              <w:textAlignment w:val="baseline"/>
            </w:pPr>
          </w:p>
        </w:tc>
        <w:tc>
          <w:tcPr>
            <w:tcW w:w="121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技术类</w:t>
            </w:r>
          </w:p>
        </w:tc>
        <w:tc>
          <w:tcPr>
            <w:tcW w:w="159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操作系统&amp;虚拟化培训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运维服务人员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10月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内部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2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eastAsia="等线" w:hAnsi="Arial" w:cs="Arial"/>
                <w:sz w:val="22"/>
              </w:rPr>
            </w:pPr>
            <w:r>
              <w:rPr>
                <w:rFonts w:eastAsia="等线" w:cs="Arial" w:hint="eastAsia"/>
                <w:sz w:val="22"/>
                <w:lang w:val="en-US" w:eastAsia="zh-CN"/>
              </w:rPr>
              <w:t>已完成</w:t>
            </w:r>
          </w:p>
        </w:tc>
      </w:tr>
      <w:tr>
        <w:tblPrEx>
          <w:tblW w:w="9480" w:type="dxa"/>
          <w:tblInd w:w="0" w:type="dxa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75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hanging="425" w:leftChars="0" w:firstLineChars="0"/>
              <w:jc w:val="left"/>
              <w:textAlignment w:val="baseline"/>
            </w:pPr>
          </w:p>
        </w:tc>
        <w:tc>
          <w:tcPr>
            <w:tcW w:w="121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技术类</w:t>
            </w:r>
          </w:p>
        </w:tc>
        <w:tc>
          <w:tcPr>
            <w:tcW w:w="159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黑麋峰抽水蓄能电站调度通信系统介绍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运维服务人员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11月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内部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2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eastAsia="等线" w:hAnsi="Arial" w:cs="Arial" w:hint="eastAsia"/>
                <w:sz w:val="22"/>
                <w:lang w:val="en-US" w:eastAsia="zh-CN"/>
              </w:rPr>
            </w:pPr>
            <w:r>
              <w:rPr>
                <w:rFonts w:eastAsia="等线" w:cs="Arial" w:hint="eastAsia"/>
                <w:sz w:val="22"/>
                <w:lang w:val="en-US" w:eastAsia="zh-CN"/>
              </w:rPr>
              <w:t>未开始</w:t>
            </w:r>
          </w:p>
        </w:tc>
      </w:tr>
      <w:tr>
        <w:tblPrEx>
          <w:tblW w:w="9480" w:type="dxa"/>
          <w:tblInd w:w="0" w:type="dxa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75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hanging="425" w:leftChars="0" w:firstLineChars="0"/>
              <w:jc w:val="left"/>
              <w:textAlignment w:val="baseline"/>
            </w:pPr>
          </w:p>
        </w:tc>
        <w:tc>
          <w:tcPr>
            <w:tcW w:w="121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技术类</w:t>
            </w:r>
          </w:p>
        </w:tc>
        <w:tc>
          <w:tcPr>
            <w:tcW w:w="159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数据库及中间件运行维护和技术支持服务运维方案交流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运维服务人员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12月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内部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2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eastAsia="等线" w:hAnsi="Arial" w:cs="Arial"/>
                <w:sz w:val="22"/>
              </w:rPr>
            </w:pPr>
            <w:r>
              <w:rPr>
                <w:rFonts w:eastAsia="等线" w:cs="Arial" w:hint="eastAsia"/>
                <w:sz w:val="22"/>
                <w:lang w:val="en-US" w:eastAsia="zh-CN"/>
              </w:rPr>
              <w:t>未开始</w:t>
            </w:r>
          </w:p>
        </w:tc>
      </w:tr>
      <w:tr>
        <w:tblPrEx>
          <w:tblW w:w="9480" w:type="dxa"/>
          <w:tblInd w:w="0" w:type="dxa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75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hanging="425" w:leftChars="0" w:firstLineChars="0"/>
              <w:jc w:val="left"/>
              <w:textAlignment w:val="baseline"/>
            </w:pPr>
          </w:p>
        </w:tc>
        <w:tc>
          <w:tcPr>
            <w:tcW w:w="121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营销类</w:t>
            </w:r>
          </w:p>
        </w:tc>
        <w:tc>
          <w:tcPr>
            <w:tcW w:w="159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双赢谈判技巧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运维服务人员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7月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外部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3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eastAsia="等线" w:hAnsi="Arial" w:cs="Arial" w:hint="eastAsia"/>
                <w:sz w:val="22"/>
                <w:lang w:val="en-US" w:eastAsia="zh-CN"/>
              </w:rPr>
            </w:pPr>
            <w:r>
              <w:rPr>
                <w:rFonts w:eastAsia="等线" w:cs="Arial" w:hint="eastAsia"/>
                <w:sz w:val="22"/>
                <w:lang w:val="en-US" w:eastAsia="zh-CN"/>
              </w:rPr>
              <w:t>已完成</w:t>
            </w:r>
          </w:p>
        </w:tc>
      </w:tr>
      <w:tr>
        <w:tblPrEx>
          <w:tblW w:w="9480" w:type="dxa"/>
          <w:tblInd w:w="0" w:type="dxa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75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hanging="425" w:leftChars="0" w:firstLineChars="0"/>
              <w:jc w:val="left"/>
              <w:textAlignment w:val="baseline"/>
            </w:pPr>
          </w:p>
        </w:tc>
        <w:tc>
          <w:tcPr>
            <w:tcW w:w="121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营销类</w:t>
            </w:r>
          </w:p>
        </w:tc>
        <w:tc>
          <w:tcPr>
            <w:tcW w:w="159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渠道开发与管理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运维服务人员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8月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外部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3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eastAsia="等线" w:hAnsi="Arial" w:cs="Arial"/>
                <w:sz w:val="22"/>
              </w:rPr>
            </w:pPr>
            <w:r>
              <w:rPr>
                <w:rFonts w:eastAsia="等线" w:cs="Arial" w:hint="eastAsia"/>
                <w:sz w:val="22"/>
                <w:lang w:val="en-US" w:eastAsia="zh-CN"/>
              </w:rPr>
              <w:t>已完成</w:t>
            </w:r>
          </w:p>
        </w:tc>
      </w:tr>
      <w:tr>
        <w:tblPrEx>
          <w:tblW w:w="9480" w:type="dxa"/>
          <w:tblInd w:w="0" w:type="dxa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75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hanging="425" w:leftChars="0" w:firstLineChars="0"/>
              <w:jc w:val="left"/>
              <w:textAlignment w:val="baseline"/>
            </w:pPr>
          </w:p>
        </w:tc>
        <w:tc>
          <w:tcPr>
            <w:tcW w:w="121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营销类</w:t>
            </w:r>
          </w:p>
        </w:tc>
        <w:tc>
          <w:tcPr>
            <w:tcW w:w="159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商业画布-商业思维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运维服务人员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11月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外部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3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eastAsia="等线" w:hAnsi="Arial" w:cs="Arial"/>
                <w:sz w:val="22"/>
              </w:rPr>
            </w:pPr>
            <w:r>
              <w:rPr>
                <w:rFonts w:eastAsia="等线" w:cs="Arial" w:hint="eastAsia"/>
                <w:sz w:val="22"/>
                <w:lang w:val="en-US" w:eastAsia="zh-CN"/>
              </w:rPr>
              <w:t>未开始</w:t>
            </w:r>
          </w:p>
        </w:tc>
      </w:tr>
      <w:tr>
        <w:tblPrEx>
          <w:tblW w:w="9480" w:type="dxa"/>
          <w:tblInd w:w="0" w:type="dxa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75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425" w:hanging="425" w:leftChars="0" w:firstLineChars="0"/>
              <w:jc w:val="left"/>
              <w:textAlignment w:val="baseline"/>
            </w:pPr>
          </w:p>
        </w:tc>
        <w:tc>
          <w:tcPr>
            <w:tcW w:w="121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营销类</w:t>
            </w:r>
          </w:p>
        </w:tc>
        <w:tc>
          <w:tcPr>
            <w:tcW w:w="159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客户服务技能提升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运维服务人员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12月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外部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3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eastAsia="等线" w:hAnsi="Arial" w:cs="Arial"/>
                <w:sz w:val="22"/>
              </w:rPr>
            </w:pPr>
            <w:r>
              <w:rPr>
                <w:rFonts w:eastAsia="等线" w:cs="Arial" w:hint="eastAsia"/>
                <w:sz w:val="22"/>
                <w:lang w:val="en-US" w:eastAsia="zh-CN"/>
              </w:rPr>
              <w:t>未开始</w:t>
            </w:r>
          </w:p>
        </w:tc>
      </w:tr>
    </w:tbl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2" w:name="_Toc19869"/>
      <w:bookmarkStart w:id="23" w:name="_Toc31353"/>
      <w:r>
        <w:rPr>
          <w:rFonts w:hint="eastAsia"/>
          <w:lang w:val="en-US" w:eastAsia="zh-CN"/>
        </w:rPr>
        <w:t>培训指标完成情况</w:t>
      </w:r>
      <w:bookmarkEnd w:id="22"/>
      <w:bookmarkEnd w:id="23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根据培训管理制度相关规定，培训的指标为培训</w:t>
      </w:r>
      <w:r>
        <w:rPr>
          <w:spacing w:val="-3"/>
          <w:sz w:val="24"/>
          <w:szCs w:val="24"/>
        </w:rPr>
        <w:t>计划完成率</w:t>
      </w:r>
      <w:r>
        <w:rPr>
          <w:rFonts w:hint="eastAsia"/>
          <w:spacing w:val="-3"/>
          <w:sz w:val="24"/>
          <w:szCs w:val="24"/>
          <w:lang w:eastAsia="zh-CN"/>
        </w:rPr>
        <w:t>，</w:t>
      </w:r>
      <w:r>
        <w:rPr>
          <w:rFonts w:hint="eastAsia"/>
          <w:spacing w:val="-3"/>
          <w:sz w:val="24"/>
          <w:szCs w:val="24"/>
          <w:lang w:val="en-US" w:eastAsia="zh-CN"/>
        </w:rPr>
        <w:t>计算方式为</w:t>
      </w:r>
      <w:r>
        <w:rPr>
          <w:spacing w:val="-2"/>
          <w:sz w:val="24"/>
          <w:szCs w:val="24"/>
        </w:rPr>
        <w:t>实际培训次数/计划培训次数*100%</w:t>
      </w:r>
      <w:r>
        <w:rPr>
          <w:rFonts w:hint="eastAsia"/>
          <w:spacing w:val="-2"/>
          <w:sz w:val="24"/>
          <w:szCs w:val="24"/>
          <w:lang w:val="en-US" w:eastAsia="zh-CN"/>
        </w:rPr>
        <w:t>，考核频次为年度考核。通过跟踪培训完成情况得知，截止2025年10月，已经进行培训27场，共计64课时。培训计划正在有序进行中，计划于12月完成所有培训。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4" w:name="_Toc5194"/>
      <w:r>
        <w:rPr>
          <w:rFonts w:hint="eastAsia"/>
          <w:lang w:val="en-US" w:eastAsia="zh-CN"/>
        </w:rPr>
        <w:t>备份情况说明</w:t>
      </w:r>
      <w:bookmarkEnd w:id="24"/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5" w:name="_Toc32369"/>
      <w:bookmarkStart w:id="26" w:name="_Toc10560"/>
      <w:r>
        <w:rPr>
          <w:rFonts w:hint="eastAsia"/>
          <w:lang w:val="en-US" w:eastAsia="zh-CN"/>
        </w:rPr>
        <w:t>备份计划完成情况</w:t>
      </w:r>
      <w:bookmarkEnd w:id="25"/>
      <w:bookmarkEnd w:id="26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截止2025年10月按计划完成运维部经理、研发部经理、应急通信运维工程师、基础环境运维工程师、软件研发工程师的备份，保证了各项目的平稳运行。</w:t>
      </w:r>
    </w:p>
    <w:tbl>
      <w:tblPr>
        <w:tblStyle w:val="TableNormal"/>
        <w:tblW w:w="8719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185"/>
        <w:gridCol w:w="1565"/>
        <w:gridCol w:w="805"/>
        <w:gridCol w:w="1185"/>
        <w:gridCol w:w="1185"/>
        <w:gridCol w:w="1397"/>
        <w:gridCol w:w="1397"/>
      </w:tblGrid>
      <w:tr>
        <w:tblPrEx>
          <w:tblW w:w="8719" w:type="dxa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岗位类别</w:t>
            </w:r>
          </w:p>
        </w:tc>
        <w:tc>
          <w:tcPr>
            <w:tcW w:w="156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岗位名称</w:t>
            </w:r>
          </w:p>
        </w:tc>
        <w:tc>
          <w:tcPr>
            <w:tcW w:w="8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互备人数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岗位角色（A）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岗位角色（B）</w:t>
            </w:r>
          </w:p>
        </w:tc>
        <w:tc>
          <w:tcPr>
            <w:tcW w:w="139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eastAsia="宋体"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计划时间</w:t>
            </w:r>
          </w:p>
        </w:tc>
        <w:tc>
          <w:tcPr>
            <w:tcW w:w="139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完成情况</w:t>
            </w:r>
          </w:p>
        </w:tc>
      </w:tr>
      <w:tr>
        <w:tblPrEx>
          <w:tblW w:w="8719" w:type="dxa"/>
          <w:tblInd w:w="0" w:type="dxa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vMerge w:val="restart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管理岗</w:t>
            </w:r>
          </w:p>
        </w:tc>
        <w:tc>
          <w:tcPr>
            <w:tcW w:w="156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eastAsia="等线" w:cs="Arial" w:hint="eastAsia"/>
                <w:sz w:val="22"/>
                <w:lang w:val="en-US" w:eastAsia="zh-CN"/>
              </w:rPr>
              <w:t>运维部经理</w:t>
            </w:r>
          </w:p>
        </w:tc>
        <w:tc>
          <w:tcPr>
            <w:tcW w:w="8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1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eastAsia="等线" w:cs="Arial" w:hint="eastAsia"/>
                <w:sz w:val="22"/>
                <w:lang w:val="en-US" w:eastAsia="zh-CN"/>
              </w:rPr>
              <w:t>运维部经理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应急通信运维工程师</w:t>
            </w:r>
          </w:p>
        </w:tc>
        <w:tc>
          <w:tcPr>
            <w:tcW w:w="139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eastAsia="宋体"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2025年3月</w:t>
            </w:r>
          </w:p>
        </w:tc>
        <w:tc>
          <w:tcPr>
            <w:tcW w:w="139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已完成</w:t>
            </w:r>
          </w:p>
        </w:tc>
      </w:tr>
      <w:tr>
        <w:tblPrEx>
          <w:tblW w:w="8719" w:type="dxa"/>
          <w:tblInd w:w="0" w:type="dxa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vMerge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</w:p>
        </w:tc>
        <w:tc>
          <w:tcPr>
            <w:tcW w:w="156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eastAsia="宋体" w:hint="default"/>
                <w:lang w:val="en-US" w:eastAsia="zh-CN"/>
              </w:rPr>
            </w:pPr>
            <w:r>
              <w:rPr>
                <w:rFonts w:eastAsia="等线" w:cs="Arial" w:hint="eastAsia"/>
                <w:sz w:val="22"/>
                <w:lang w:val="en-US" w:eastAsia="zh-CN"/>
              </w:rPr>
              <w:t>研发部经理</w:t>
            </w:r>
          </w:p>
        </w:tc>
        <w:tc>
          <w:tcPr>
            <w:tcW w:w="8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1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eastAsia="等线" w:cs="Arial" w:hint="eastAsia"/>
                <w:sz w:val="22"/>
                <w:lang w:val="en-US" w:eastAsia="zh-CN"/>
              </w:rPr>
              <w:t>研发部经理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eastAsia="宋体" w:hint="eastAsia"/>
                <w:lang w:eastAsia="zh-CN"/>
              </w:rPr>
            </w:pPr>
            <w:r>
              <w:rPr>
                <w:rFonts w:eastAsia="等线" w:cs="Arial" w:hint="eastAsia"/>
                <w:sz w:val="22"/>
                <w:lang w:eastAsia="zh-CN"/>
              </w:rPr>
              <w:t>软件研发工程师</w:t>
            </w:r>
          </w:p>
        </w:tc>
        <w:tc>
          <w:tcPr>
            <w:tcW w:w="139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/>
                <w:lang w:val="en-US" w:eastAsia="zh-CN"/>
              </w:rPr>
              <w:t>2025年3月</w:t>
            </w:r>
          </w:p>
        </w:tc>
        <w:tc>
          <w:tcPr>
            <w:tcW w:w="139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已完成</w:t>
            </w:r>
          </w:p>
        </w:tc>
      </w:tr>
      <w:tr>
        <w:tblPrEx>
          <w:tblW w:w="8719" w:type="dxa"/>
          <w:tblInd w:w="0" w:type="dxa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vMerge w:val="restart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技术岗</w:t>
            </w:r>
          </w:p>
        </w:tc>
        <w:tc>
          <w:tcPr>
            <w:tcW w:w="156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应急通信运维工程师</w:t>
            </w:r>
          </w:p>
        </w:tc>
        <w:tc>
          <w:tcPr>
            <w:tcW w:w="8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2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应急通信运维工程师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传输设备运维工程师</w:t>
            </w:r>
          </w:p>
        </w:tc>
        <w:tc>
          <w:tcPr>
            <w:tcW w:w="139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/>
                <w:lang w:val="en-US" w:eastAsia="zh-CN"/>
              </w:rPr>
              <w:t>2025年7月</w:t>
            </w:r>
          </w:p>
        </w:tc>
        <w:tc>
          <w:tcPr>
            <w:tcW w:w="139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已完成</w:t>
            </w:r>
          </w:p>
        </w:tc>
      </w:tr>
      <w:tr>
        <w:tblPrEx>
          <w:tblW w:w="8719" w:type="dxa"/>
          <w:tblInd w:w="0" w:type="dxa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vMerge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</w:p>
        </w:tc>
        <w:tc>
          <w:tcPr>
            <w:tcW w:w="156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基础环境运维工程师</w:t>
            </w:r>
          </w:p>
        </w:tc>
        <w:tc>
          <w:tcPr>
            <w:tcW w:w="8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2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基础环境运维工程师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会议电视运维工程师</w:t>
            </w:r>
          </w:p>
        </w:tc>
        <w:tc>
          <w:tcPr>
            <w:tcW w:w="139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/>
                <w:lang w:val="en-US" w:eastAsia="zh-CN"/>
              </w:rPr>
              <w:t>2025年8月</w:t>
            </w:r>
          </w:p>
        </w:tc>
        <w:tc>
          <w:tcPr>
            <w:tcW w:w="139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已完成</w:t>
            </w:r>
          </w:p>
        </w:tc>
      </w:tr>
      <w:tr>
        <w:tblPrEx>
          <w:tblW w:w="8719" w:type="dxa"/>
          <w:tblInd w:w="0" w:type="dxa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vMerge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</w:p>
        </w:tc>
        <w:tc>
          <w:tcPr>
            <w:tcW w:w="156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eastAsia="宋体" w:hint="eastAsia"/>
                <w:lang w:eastAsia="zh-CN"/>
              </w:rPr>
            </w:pPr>
            <w:r>
              <w:rPr>
                <w:rFonts w:eastAsia="等线" w:cs="Arial" w:hint="eastAsia"/>
                <w:sz w:val="22"/>
                <w:lang w:eastAsia="zh-CN"/>
              </w:rPr>
              <w:t>软件研发工程师</w:t>
            </w:r>
          </w:p>
        </w:tc>
        <w:tc>
          <w:tcPr>
            <w:tcW w:w="8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4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软件研发工程师（中级）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eastAsia="等线" w:cs="Arial" w:hint="eastAsia"/>
                <w:sz w:val="22"/>
                <w:lang w:eastAsia="zh-CN"/>
              </w:rPr>
              <w:t>软件研发工程师</w:t>
            </w:r>
            <w:r>
              <w:rPr>
                <w:rFonts w:ascii="Arial" w:eastAsia="等线" w:hAnsi="Arial" w:cs="Arial"/>
                <w:sz w:val="22"/>
              </w:rPr>
              <w:t>（初级）</w:t>
            </w:r>
          </w:p>
        </w:tc>
        <w:tc>
          <w:tcPr>
            <w:tcW w:w="139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/>
                <w:lang w:val="en-US" w:eastAsia="zh-CN"/>
              </w:rPr>
              <w:t>2025年8月</w:t>
            </w:r>
          </w:p>
        </w:tc>
        <w:tc>
          <w:tcPr>
            <w:tcW w:w="139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已完成</w:t>
            </w:r>
          </w:p>
        </w:tc>
      </w:tr>
      <w:tr>
        <w:tblPrEx>
          <w:tblW w:w="8719" w:type="dxa"/>
          <w:tblInd w:w="0" w:type="dxa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50" w:type="dxa"/>
            <w:gridSpan w:val="2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合计</w:t>
            </w:r>
          </w:p>
        </w:tc>
        <w:tc>
          <w:tcPr>
            <w:tcW w:w="8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eastAsia="宋体"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-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-</w:t>
            </w:r>
          </w:p>
        </w:tc>
        <w:tc>
          <w:tcPr>
            <w:tcW w:w="139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</w:p>
        </w:tc>
        <w:tc>
          <w:tcPr>
            <w:tcW w:w="139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</w:p>
        </w:tc>
      </w:tr>
    </w:tbl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7" w:name="_Toc6633"/>
      <w:bookmarkStart w:id="28" w:name="_Toc9359"/>
      <w:r>
        <w:rPr>
          <w:rFonts w:hint="eastAsia"/>
          <w:lang w:val="en-US" w:eastAsia="zh-CN"/>
        </w:rPr>
        <w:t>备份指标完成情况</w:t>
      </w:r>
      <w:bookmarkEnd w:id="27"/>
      <w:bookmarkEnd w:id="28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/>
        </w:rPr>
      </w:pPr>
      <w:r>
        <w:rPr>
          <w:rFonts w:hint="eastAsia"/>
          <w:lang w:val="en-US" w:eastAsia="zh-CN"/>
        </w:rPr>
        <w:t>根据备份管理制度相关规定，备份的指标为</w:t>
      </w:r>
      <w:r>
        <w:rPr>
          <w:rFonts w:hint="eastAsia"/>
          <w:spacing w:val="-3"/>
          <w:sz w:val="24"/>
          <w:szCs w:val="24"/>
          <w:lang w:val="en-US" w:eastAsia="zh-CN"/>
        </w:rPr>
        <w:t>备份</w:t>
      </w:r>
      <w:r>
        <w:rPr>
          <w:spacing w:val="-3"/>
          <w:sz w:val="24"/>
          <w:szCs w:val="24"/>
        </w:rPr>
        <w:t>计划完成率</w:t>
      </w:r>
      <w:r>
        <w:rPr>
          <w:rFonts w:hint="eastAsia"/>
          <w:spacing w:val="-3"/>
          <w:sz w:val="24"/>
          <w:szCs w:val="24"/>
          <w:lang w:eastAsia="zh-CN"/>
        </w:rPr>
        <w:t>，</w:t>
      </w:r>
      <w:r>
        <w:rPr>
          <w:rFonts w:hint="eastAsia"/>
          <w:spacing w:val="-3"/>
          <w:sz w:val="24"/>
          <w:szCs w:val="24"/>
          <w:lang w:val="en-US" w:eastAsia="zh-CN"/>
        </w:rPr>
        <w:t>计算方式为</w:t>
      </w:r>
      <w:r>
        <w:rPr>
          <w:rFonts w:cs="宋体" w:hint="eastAsia"/>
          <w:snapToGrid w:val="0"/>
          <w:color w:val="000000"/>
          <w:kern w:val="0"/>
          <w:sz w:val="24"/>
          <w:szCs w:val="24"/>
          <w:lang w:val="en-US" w:eastAsia="zh-CN" w:bidi="ar-SA"/>
        </w:rPr>
        <w:t>实际备份人数/计划备份人数*100%</w:t>
      </w:r>
      <w:r>
        <w:rPr>
          <w:rFonts w:hint="eastAsia"/>
          <w:spacing w:val="-2"/>
          <w:sz w:val="24"/>
          <w:szCs w:val="24"/>
          <w:lang w:val="en-US" w:eastAsia="zh-CN"/>
        </w:rPr>
        <w:t>，考核频次为年度考核。通过跟踪备份完成情况得知，截止2025年10月按照计划时间完成备份任务，备份计划完成率为100%，满足备份计划完成率≥90%的指标要求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9" w:name="_Toc8121"/>
      <w:r>
        <w:rPr>
          <w:rFonts w:hint="eastAsia"/>
          <w:lang w:val="en-US" w:eastAsia="zh-CN"/>
        </w:rPr>
        <w:t>绩效考核情况说明</w:t>
      </w:r>
      <w:bookmarkEnd w:id="29"/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30" w:name="_Toc29393"/>
      <w:bookmarkStart w:id="31" w:name="_Toc21481"/>
      <w:r>
        <w:rPr>
          <w:rFonts w:hint="eastAsia"/>
          <w:lang w:val="en-US" w:eastAsia="zh-CN"/>
        </w:rPr>
        <w:t>绩效考核完成情况</w:t>
      </w:r>
      <w:bookmarkEnd w:id="30"/>
      <w:bookmarkEnd w:id="31"/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bookmarkStart w:id="32" w:name="heading_11"/>
      <w:bookmarkStart w:id="33" w:name="_Toc20572"/>
      <w:r>
        <w:t>考核实施</w:t>
      </w:r>
      <w:bookmarkEnd w:id="32"/>
      <w:bookmarkEnd w:id="33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总经部牵头完成第一、二</w:t>
      </w:r>
      <w:r>
        <w:rPr>
          <w:rFonts w:hint="eastAsia"/>
          <w:lang w:val="en-US" w:eastAsia="zh-CN"/>
        </w:rPr>
        <w:t>和三</w:t>
      </w:r>
      <w:r>
        <w:t>季度考核，覆盖</w:t>
      </w:r>
      <w:r>
        <w:rPr>
          <w:rFonts w:hint="eastAsia"/>
          <w:lang w:val="en-US" w:eastAsia="zh-CN"/>
        </w:rPr>
        <w:t>运维相关部门</w:t>
      </w:r>
      <w:r>
        <w:t>，涉及管理岗、技术岗、操作岗，考核指标按岗位差异化设置，依据《绩效考核制度》执行。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bookmarkStart w:id="34" w:name="heading_12"/>
      <w:bookmarkStart w:id="35" w:name="_Toc10755"/>
      <w:r>
        <w:t>考核结果</w:t>
      </w:r>
      <w:bookmarkEnd w:id="34"/>
      <w:bookmarkEnd w:id="35"/>
    </w:p>
    <w:tbl>
      <w:tblPr>
        <w:tblStyle w:val="TableNormal"/>
        <w:tblW w:w="8504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139"/>
        <w:gridCol w:w="2113"/>
        <w:gridCol w:w="2126"/>
        <w:gridCol w:w="2126"/>
      </w:tblGrid>
      <w:tr>
        <w:tblPrEx>
          <w:tblW w:w="8504" w:type="dxa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3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考核等级</w:t>
            </w:r>
          </w:p>
        </w:tc>
        <w:tc>
          <w:tcPr>
            <w:tcW w:w="2113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第一季度（</w:t>
            </w:r>
            <w:r>
              <w:rPr>
                <w:rFonts w:eastAsia="等线" w:cs="Arial" w:hint="eastAsia"/>
                <w:sz w:val="22"/>
                <w:lang w:val="en-US" w:eastAsia="zh-CN"/>
              </w:rPr>
              <w:t>11</w:t>
            </w:r>
            <w:r>
              <w:rPr>
                <w:rFonts w:ascii="Arial" w:eastAsia="等线" w:hAnsi="Arial" w:cs="Arial"/>
                <w:sz w:val="22"/>
              </w:rPr>
              <w:t>人）</w:t>
            </w:r>
          </w:p>
        </w:tc>
        <w:tc>
          <w:tcPr>
            <w:tcW w:w="212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第二季度（</w:t>
            </w:r>
            <w:r>
              <w:rPr>
                <w:rFonts w:eastAsia="等线" w:cs="Arial" w:hint="eastAsia"/>
                <w:sz w:val="22"/>
                <w:lang w:val="en-US" w:eastAsia="zh-CN"/>
              </w:rPr>
              <w:t>13</w:t>
            </w:r>
            <w:r>
              <w:rPr>
                <w:rFonts w:ascii="Arial" w:eastAsia="等线" w:hAnsi="Arial" w:cs="Arial"/>
                <w:sz w:val="22"/>
              </w:rPr>
              <w:t>人）</w:t>
            </w:r>
          </w:p>
        </w:tc>
        <w:tc>
          <w:tcPr>
            <w:tcW w:w="212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eastAsia="等线" w:hAnsi="Arial" w:cs="Arial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第</w:t>
            </w:r>
            <w:r>
              <w:rPr>
                <w:rFonts w:eastAsia="等线" w:cs="Arial" w:hint="eastAsia"/>
                <w:sz w:val="22"/>
                <w:lang w:val="en-US" w:eastAsia="zh-CN"/>
              </w:rPr>
              <w:t>三</w:t>
            </w:r>
            <w:r>
              <w:rPr>
                <w:rFonts w:ascii="Arial" w:eastAsia="等线" w:hAnsi="Arial" w:cs="Arial"/>
                <w:sz w:val="22"/>
              </w:rPr>
              <w:t>季度（</w:t>
            </w:r>
            <w:r>
              <w:rPr>
                <w:rFonts w:eastAsia="等线" w:cs="Arial" w:hint="eastAsia"/>
                <w:sz w:val="22"/>
                <w:lang w:val="en-US" w:eastAsia="zh-CN"/>
              </w:rPr>
              <w:t>13</w:t>
            </w:r>
            <w:r>
              <w:rPr>
                <w:rFonts w:ascii="Arial" w:eastAsia="等线" w:hAnsi="Arial" w:cs="Arial"/>
                <w:sz w:val="22"/>
              </w:rPr>
              <w:t>人）</w:t>
            </w:r>
          </w:p>
        </w:tc>
      </w:tr>
      <w:tr>
        <w:tblPrEx>
          <w:tblW w:w="8504" w:type="dxa"/>
          <w:tblInd w:w="0" w:type="dxa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3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优秀（&gt;90分）</w:t>
            </w:r>
          </w:p>
        </w:tc>
        <w:tc>
          <w:tcPr>
            <w:tcW w:w="2113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eastAsia="等线" w:cs="Arial" w:hint="eastAsia"/>
                <w:sz w:val="22"/>
                <w:lang w:val="en-US" w:eastAsia="zh-CN"/>
              </w:rPr>
              <w:t>0</w:t>
            </w:r>
            <w:r>
              <w:rPr>
                <w:rFonts w:ascii="Arial" w:eastAsia="等线" w:hAnsi="Arial" w:cs="Arial"/>
                <w:sz w:val="22"/>
              </w:rPr>
              <w:t>人，占比</w:t>
            </w:r>
            <w:r>
              <w:rPr>
                <w:rFonts w:eastAsia="等线" w:cs="Arial" w:hint="eastAsia"/>
                <w:sz w:val="22"/>
                <w:lang w:val="en-US" w:eastAsia="zh-CN"/>
              </w:rPr>
              <w:t>0</w:t>
            </w:r>
            <w:r>
              <w:rPr>
                <w:rFonts w:ascii="Arial" w:eastAsia="等线" w:hAnsi="Arial" w:cs="Arial"/>
                <w:sz w:val="22"/>
              </w:rPr>
              <w:t>%</w:t>
            </w:r>
          </w:p>
        </w:tc>
        <w:tc>
          <w:tcPr>
            <w:tcW w:w="212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</w:pPr>
            <w:r>
              <w:rPr>
                <w:rFonts w:eastAsia="等线" w:cs="Arial" w:hint="eastAsia"/>
                <w:sz w:val="22"/>
                <w:lang w:val="en-US" w:eastAsia="zh-CN"/>
              </w:rPr>
              <w:t>0</w:t>
            </w:r>
            <w:r>
              <w:rPr>
                <w:rFonts w:ascii="Arial" w:eastAsia="等线" w:hAnsi="Arial" w:cs="Arial"/>
                <w:sz w:val="22"/>
              </w:rPr>
              <w:t>人，占比</w:t>
            </w:r>
            <w:r>
              <w:rPr>
                <w:rFonts w:eastAsia="等线" w:cs="Arial" w:hint="eastAsia"/>
                <w:sz w:val="22"/>
                <w:lang w:val="en-US" w:eastAsia="zh-CN"/>
              </w:rPr>
              <w:t>0</w:t>
            </w:r>
            <w:r>
              <w:rPr>
                <w:rFonts w:ascii="Arial" w:eastAsia="等线" w:hAnsi="Arial" w:cs="Arial"/>
                <w:sz w:val="22"/>
              </w:rPr>
              <w:t>%</w:t>
            </w:r>
          </w:p>
        </w:tc>
        <w:tc>
          <w:tcPr>
            <w:tcW w:w="212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eastAsia="等线" w:hAnsi="Arial" w:cs="Arial" w:hint="default"/>
                <w:sz w:val="22"/>
                <w:lang w:val="en-US" w:eastAsia="zh-CN"/>
              </w:rPr>
            </w:pPr>
            <w:r>
              <w:rPr>
                <w:rFonts w:eastAsia="等线" w:cs="Arial" w:hint="eastAsia"/>
                <w:sz w:val="22"/>
                <w:lang w:val="en-US" w:eastAsia="zh-CN"/>
              </w:rPr>
              <w:t>0</w:t>
            </w:r>
            <w:r>
              <w:rPr>
                <w:rFonts w:ascii="Arial" w:eastAsia="等线" w:hAnsi="Arial" w:cs="Arial"/>
                <w:sz w:val="22"/>
              </w:rPr>
              <w:t>人，占比</w:t>
            </w:r>
            <w:r>
              <w:rPr>
                <w:rFonts w:eastAsia="等线" w:cs="Arial" w:hint="eastAsia"/>
                <w:sz w:val="22"/>
                <w:lang w:val="en-US" w:eastAsia="zh-CN"/>
              </w:rPr>
              <w:t>0</w:t>
            </w:r>
            <w:r>
              <w:rPr>
                <w:rFonts w:ascii="Arial" w:eastAsia="等线" w:hAnsi="Arial" w:cs="Arial"/>
                <w:sz w:val="22"/>
              </w:rPr>
              <w:t>%</w:t>
            </w:r>
          </w:p>
        </w:tc>
      </w:tr>
      <w:tr>
        <w:tblPrEx>
          <w:tblW w:w="8504" w:type="dxa"/>
          <w:tblInd w:w="0" w:type="dxa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3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合格（80-90分）</w:t>
            </w:r>
          </w:p>
        </w:tc>
        <w:tc>
          <w:tcPr>
            <w:tcW w:w="2113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eastAsia="等线" w:cs="Arial" w:hint="eastAsia"/>
                <w:sz w:val="22"/>
                <w:lang w:val="en-US" w:eastAsia="zh-CN"/>
              </w:rPr>
              <w:t>11</w:t>
            </w:r>
            <w:r>
              <w:rPr>
                <w:rFonts w:ascii="Arial" w:eastAsia="等线" w:hAnsi="Arial" w:cs="Arial"/>
                <w:sz w:val="22"/>
              </w:rPr>
              <w:t>人，占比</w:t>
            </w:r>
            <w:r>
              <w:rPr>
                <w:rFonts w:eastAsia="等线" w:cs="Arial" w:hint="eastAsia"/>
                <w:sz w:val="22"/>
                <w:lang w:val="en-US" w:eastAsia="zh-CN"/>
              </w:rPr>
              <w:t>100</w:t>
            </w:r>
            <w:r>
              <w:rPr>
                <w:rFonts w:ascii="Arial" w:eastAsia="等线" w:hAnsi="Arial" w:cs="Arial"/>
                <w:sz w:val="22"/>
              </w:rPr>
              <w:t>%</w:t>
            </w:r>
          </w:p>
        </w:tc>
        <w:tc>
          <w:tcPr>
            <w:tcW w:w="212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</w:pPr>
            <w:r>
              <w:rPr>
                <w:rFonts w:eastAsia="等线" w:cs="Arial" w:hint="eastAsia"/>
                <w:sz w:val="22"/>
                <w:lang w:val="en-US" w:eastAsia="zh-CN"/>
              </w:rPr>
              <w:t>13</w:t>
            </w:r>
            <w:r>
              <w:rPr>
                <w:rFonts w:ascii="Arial" w:eastAsia="等线" w:hAnsi="Arial" w:cs="Arial"/>
                <w:sz w:val="22"/>
              </w:rPr>
              <w:t>人，占比</w:t>
            </w:r>
            <w:r>
              <w:rPr>
                <w:rFonts w:eastAsia="等线" w:cs="Arial" w:hint="eastAsia"/>
                <w:sz w:val="22"/>
                <w:lang w:val="en-US" w:eastAsia="zh-CN"/>
              </w:rPr>
              <w:t>100</w:t>
            </w:r>
            <w:r>
              <w:rPr>
                <w:rFonts w:ascii="Arial" w:eastAsia="等线" w:hAnsi="Arial" w:cs="Arial"/>
                <w:sz w:val="22"/>
              </w:rPr>
              <w:t>%</w:t>
            </w:r>
          </w:p>
        </w:tc>
        <w:tc>
          <w:tcPr>
            <w:tcW w:w="212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eastAsia="等线" w:hAnsi="Arial" w:cs="Arial" w:hint="default"/>
                <w:sz w:val="22"/>
                <w:lang w:val="en-US" w:eastAsia="zh-CN"/>
              </w:rPr>
            </w:pPr>
            <w:r>
              <w:rPr>
                <w:rFonts w:eastAsia="等线" w:cs="Arial" w:hint="eastAsia"/>
                <w:sz w:val="22"/>
                <w:lang w:val="en-US" w:eastAsia="zh-CN"/>
              </w:rPr>
              <w:t>13</w:t>
            </w:r>
            <w:r>
              <w:rPr>
                <w:rFonts w:ascii="Arial" w:eastAsia="等线" w:hAnsi="Arial" w:cs="Arial"/>
                <w:sz w:val="22"/>
              </w:rPr>
              <w:t>人，占比</w:t>
            </w:r>
            <w:r>
              <w:rPr>
                <w:rFonts w:eastAsia="等线" w:cs="Arial" w:hint="eastAsia"/>
                <w:sz w:val="22"/>
                <w:lang w:val="en-US" w:eastAsia="zh-CN"/>
              </w:rPr>
              <w:t>100</w:t>
            </w:r>
            <w:r>
              <w:rPr>
                <w:rFonts w:ascii="Arial" w:eastAsia="等线" w:hAnsi="Arial" w:cs="Arial"/>
                <w:sz w:val="22"/>
              </w:rPr>
              <w:t>%</w:t>
            </w:r>
          </w:p>
        </w:tc>
      </w:tr>
      <w:tr>
        <w:tblPrEx>
          <w:tblW w:w="8504" w:type="dxa"/>
          <w:tblInd w:w="0" w:type="dxa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3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需改进（70-80分）</w:t>
            </w:r>
          </w:p>
        </w:tc>
        <w:tc>
          <w:tcPr>
            <w:tcW w:w="2113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eastAsia="等线" w:cs="Arial" w:hint="eastAsia"/>
                <w:sz w:val="22"/>
                <w:lang w:val="en-US" w:eastAsia="zh-CN"/>
              </w:rPr>
              <w:t>0</w:t>
            </w:r>
            <w:r>
              <w:rPr>
                <w:rFonts w:ascii="Arial" w:eastAsia="等线" w:hAnsi="Arial" w:cs="Arial"/>
                <w:sz w:val="22"/>
              </w:rPr>
              <w:t>人，占比</w:t>
            </w:r>
            <w:r>
              <w:rPr>
                <w:rFonts w:eastAsia="等线" w:cs="Arial" w:hint="eastAsia"/>
                <w:sz w:val="22"/>
                <w:lang w:val="en-US" w:eastAsia="zh-CN"/>
              </w:rPr>
              <w:t>0</w:t>
            </w:r>
            <w:r>
              <w:rPr>
                <w:rFonts w:ascii="Arial" w:eastAsia="等线" w:hAnsi="Arial" w:cs="Arial"/>
                <w:sz w:val="22"/>
              </w:rPr>
              <w:t>%</w:t>
            </w:r>
          </w:p>
        </w:tc>
        <w:tc>
          <w:tcPr>
            <w:tcW w:w="212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</w:pPr>
            <w:r>
              <w:rPr>
                <w:rFonts w:eastAsia="等线" w:cs="Arial" w:hint="eastAsia"/>
                <w:sz w:val="22"/>
                <w:lang w:val="en-US" w:eastAsia="zh-CN"/>
              </w:rPr>
              <w:t>0</w:t>
            </w:r>
            <w:r>
              <w:rPr>
                <w:rFonts w:ascii="Arial" w:eastAsia="等线" w:hAnsi="Arial" w:cs="Arial"/>
                <w:sz w:val="22"/>
              </w:rPr>
              <w:t>人，占比</w:t>
            </w:r>
            <w:r>
              <w:rPr>
                <w:rFonts w:eastAsia="等线" w:cs="Arial" w:hint="eastAsia"/>
                <w:sz w:val="22"/>
                <w:lang w:val="en-US" w:eastAsia="zh-CN"/>
              </w:rPr>
              <w:t>0</w:t>
            </w:r>
            <w:r>
              <w:rPr>
                <w:rFonts w:ascii="Arial" w:eastAsia="等线" w:hAnsi="Arial" w:cs="Arial"/>
                <w:sz w:val="22"/>
              </w:rPr>
              <w:t>%</w:t>
            </w:r>
          </w:p>
        </w:tc>
        <w:tc>
          <w:tcPr>
            <w:tcW w:w="2126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eastAsia="宋体" w:hAnsi="Arial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eastAsia="等线" w:cs="Arial" w:hint="eastAsia"/>
                <w:sz w:val="22"/>
                <w:lang w:val="en-US" w:eastAsia="zh-CN"/>
              </w:rPr>
              <w:t>0</w:t>
            </w:r>
            <w:r>
              <w:rPr>
                <w:rFonts w:ascii="Arial" w:eastAsia="等线" w:hAnsi="Arial" w:cs="Arial"/>
                <w:sz w:val="22"/>
              </w:rPr>
              <w:t>人，占比</w:t>
            </w:r>
            <w:r>
              <w:rPr>
                <w:rFonts w:eastAsia="等线" w:cs="Arial" w:hint="eastAsia"/>
                <w:sz w:val="22"/>
                <w:lang w:val="en-US" w:eastAsia="zh-CN"/>
              </w:rPr>
              <w:t>0</w:t>
            </w:r>
            <w:r>
              <w:rPr>
                <w:rFonts w:ascii="Arial" w:eastAsia="等线" w:hAnsi="Arial" w:cs="Arial"/>
                <w:sz w:val="22"/>
              </w:rPr>
              <w:t>%</w:t>
            </w:r>
          </w:p>
        </w:tc>
      </w:tr>
      <w:tr>
        <w:tblPrEx>
          <w:tblW w:w="8504" w:type="dxa"/>
          <w:tblInd w:w="0" w:type="dxa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3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不合格（&lt;70分）</w:t>
            </w:r>
          </w:p>
        </w:tc>
        <w:tc>
          <w:tcPr>
            <w:tcW w:w="2113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0人，占比0%</w:t>
            </w:r>
          </w:p>
        </w:tc>
        <w:tc>
          <w:tcPr>
            <w:tcW w:w="212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0人，占比0%</w:t>
            </w:r>
          </w:p>
        </w:tc>
        <w:tc>
          <w:tcPr>
            <w:tcW w:w="2126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eastAsia="宋体" w:hAnsi="Arial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eastAsia="等线" w:hAnsi="Arial" w:cs="Arial"/>
                <w:sz w:val="22"/>
              </w:rPr>
              <w:t>0人，占比0%</w:t>
            </w:r>
          </w:p>
        </w:tc>
      </w:tr>
    </w:tbl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6" w:name="_Toc22123"/>
      <w:bookmarkStart w:id="37" w:name="_Toc16259"/>
      <w:r>
        <w:rPr>
          <w:rFonts w:hint="eastAsia"/>
          <w:lang w:val="en-US" w:eastAsia="zh-CN"/>
        </w:rPr>
        <w:t>绩效考核指标达成情况</w:t>
      </w:r>
      <w:bookmarkEnd w:id="36"/>
      <w:bookmarkEnd w:id="37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eastAsia="宋体" w:hint="default"/>
          <w:lang w:val="en-US" w:eastAsia="zh-CN"/>
        </w:rPr>
      </w:pPr>
      <w:r>
        <w:rPr>
          <w:rFonts w:hint="eastAsia"/>
          <w:lang w:val="en-US" w:eastAsia="zh-CN"/>
        </w:rPr>
        <w:t>根据绩效考核相关规定，绩效考核的指标为</w:t>
      </w:r>
      <w:r>
        <w:rPr>
          <w:spacing w:val="-3"/>
          <w:sz w:val="24"/>
          <w:szCs w:val="24"/>
        </w:rPr>
        <w:t>绩效考核覆盖率</w:t>
      </w:r>
      <w:r>
        <w:rPr>
          <w:rFonts w:hint="eastAsia"/>
          <w:spacing w:val="-3"/>
          <w:sz w:val="24"/>
          <w:szCs w:val="24"/>
          <w:lang w:eastAsia="zh-CN"/>
        </w:rPr>
        <w:t>，</w:t>
      </w:r>
      <w:r>
        <w:rPr>
          <w:rFonts w:hint="eastAsia"/>
          <w:spacing w:val="-3"/>
          <w:sz w:val="24"/>
          <w:szCs w:val="24"/>
          <w:lang w:val="en-US" w:eastAsia="zh-CN"/>
        </w:rPr>
        <w:t>计算方式为</w:t>
      </w:r>
      <w:r>
        <w:rPr>
          <w:spacing w:val="-2"/>
          <w:sz w:val="24"/>
          <w:szCs w:val="24"/>
        </w:rPr>
        <w:t>参与绩效考核运维人员/运维人员总数</w:t>
      </w:r>
      <w:r>
        <w:rPr>
          <w:rFonts w:hint="eastAsia"/>
          <w:spacing w:val="-2"/>
          <w:sz w:val="24"/>
          <w:szCs w:val="24"/>
          <w:lang w:val="en-US" w:eastAsia="zh-CN"/>
        </w:rPr>
        <w:t>*100%，考核频次为季度考核。通过跟踪绩效考核记录得出，2025年第一、二和三季度所有运维服务人员均参加绩效考核，满足绩效考核覆盖率100%的要求。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8" w:name="_Toc14501"/>
      <w:r>
        <w:rPr>
          <w:rFonts w:hint="eastAsia"/>
          <w:lang w:val="en-US" w:eastAsia="zh-CN"/>
        </w:rPr>
        <w:t>能力评价情况说明</w:t>
      </w:r>
      <w:bookmarkEnd w:id="38"/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39" w:name="_Toc28166"/>
      <w:bookmarkStart w:id="40" w:name="_Toc23582"/>
      <w:r>
        <w:rPr>
          <w:rFonts w:hint="eastAsia"/>
          <w:lang w:val="en-US" w:eastAsia="zh-CN"/>
        </w:rPr>
        <w:t>技能评价完成情况</w:t>
      </w:r>
      <w:bookmarkEnd w:id="39"/>
      <w:bookmarkEnd w:id="40"/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bookmarkStart w:id="41" w:name="_Toc19603"/>
      <w:bookmarkStart w:id="42" w:name="heading_14"/>
      <w:r>
        <w:t>评价范围</w:t>
      </w:r>
      <w:bookmarkEnd w:id="41"/>
      <w:bookmarkEnd w:id="42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eastAsia="宋体" w:hint="default"/>
          <w:lang w:val="en-US" w:eastAsia="zh-CN"/>
        </w:rPr>
      </w:pPr>
      <w:r>
        <w:t>截止</w:t>
      </w:r>
      <w:r>
        <w:rPr>
          <w:rFonts w:hint="eastAsia"/>
          <w:lang w:val="en-US" w:eastAsia="zh-CN"/>
        </w:rPr>
        <w:t>2025年10</w:t>
      </w:r>
      <w:r>
        <w:t>月，完成</w:t>
      </w:r>
      <w:r>
        <w:rPr>
          <w:rFonts w:hint="eastAsia"/>
          <w:lang w:val="en-US" w:eastAsia="zh-CN"/>
        </w:rPr>
        <w:t>6</w:t>
      </w:r>
      <w:r>
        <w:t>名新招聘员工技能评价及</w:t>
      </w:r>
      <w:r>
        <w:rPr>
          <w:rFonts w:hint="eastAsia"/>
          <w:lang w:val="en-US" w:eastAsia="zh-CN"/>
        </w:rPr>
        <w:t>7</w:t>
      </w:r>
      <w:r>
        <w:t>名储备调岗员工技能再评价，</w:t>
      </w:r>
      <w:r>
        <w:rPr>
          <w:rFonts w:hint="eastAsia"/>
          <w:lang w:val="en-US" w:eastAsia="zh-CN"/>
        </w:rPr>
        <w:t>招聘员工</w:t>
      </w:r>
      <w:r>
        <w:t>按流程办理入职。</w:t>
      </w:r>
      <w:r>
        <w:rPr>
          <w:rFonts w:hint="eastAsia"/>
          <w:lang w:val="en-US" w:eastAsia="zh-CN"/>
        </w:rPr>
        <w:t>其他员工的评价计划在12月份进行。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bookmarkStart w:id="43" w:name="_Toc10682"/>
      <w:r>
        <w:t>评价结果</w:t>
      </w:r>
      <w:bookmarkEnd w:id="43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845" w:hanging="425" w:leftChars="0" w:firstLineChars="0"/>
        <w:textAlignment w:val="baseline"/>
      </w:pPr>
      <w:r>
        <w:t>新员工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会议电视运维工程师（中级工程师，岗级标准55）、数据库运维工程师（高级工程师，</w:t>
      </w:r>
      <w:r>
        <w:rPr>
          <w:rFonts w:hint="eastAsia"/>
          <w:lang w:val="en-US" w:eastAsia="zh-CN"/>
        </w:rPr>
        <w:t>岗位标准</w:t>
      </w:r>
      <w:r>
        <w:t>65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65</w:t>
      </w:r>
      <w:r>
        <w:t>）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软件研发工程师（中级工程师，岗位标准55、55）、服务台专员（初级专员，岗位标准90）</w:t>
      </w:r>
      <w:r>
        <w:t>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845" w:hanging="425" w:leftChars="0" w:firstLineChars="0"/>
        <w:textAlignment w:val="baseline"/>
      </w:pPr>
      <w:r>
        <w:t>储备人员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t>应急通信运维工程师（初级专家，60）、传输设备运维工程师（初级专家，65）</w:t>
      </w:r>
      <w:r>
        <w:rPr>
          <w:rFonts w:hint="eastAsia"/>
          <w:lang w:eastAsia="zh-CN"/>
        </w:rPr>
        <w:t>、</w:t>
      </w:r>
      <w:r>
        <w:t>项目经理</w:t>
      </w:r>
      <w:r>
        <w:rPr>
          <w:rFonts w:hint="eastAsia"/>
          <w:lang w:val="en-US" w:eastAsia="zh-CN"/>
        </w:rPr>
        <w:t>3</w:t>
      </w:r>
      <w:r>
        <w:t>名（中级</w:t>
      </w:r>
      <w:r>
        <w:rPr>
          <w:rFonts w:hint="eastAsia"/>
          <w:lang w:val="en-US" w:eastAsia="zh-CN"/>
        </w:rPr>
        <w:t>项目经理</w:t>
      </w:r>
      <w:r>
        <w:t>，</w:t>
      </w:r>
      <w:r>
        <w:rPr>
          <w:rFonts w:hint="eastAsia"/>
          <w:lang w:val="en-US" w:eastAsia="zh-CN"/>
        </w:rPr>
        <w:t>岗位标准</w:t>
      </w:r>
      <w:r>
        <w:t>75、75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75</w:t>
      </w:r>
      <w:r>
        <w:t>）</w:t>
      </w:r>
      <w:r>
        <w:rPr>
          <w:rFonts w:hint="eastAsia"/>
          <w:lang w:eastAsia="zh-CN"/>
        </w:rPr>
        <w:t>、</w:t>
      </w:r>
      <w:r>
        <w:t>ERP系统运维工程师（初级专家，65）</w:t>
      </w:r>
      <w:r>
        <w:rPr>
          <w:rFonts w:hint="eastAsia"/>
          <w:lang w:eastAsia="zh-CN"/>
        </w:rPr>
        <w:t>、</w:t>
      </w:r>
      <w:r>
        <w:t>运行监控运维工程师（中级专家，80）。</w:t>
      </w: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44" w:name="_Toc16522"/>
      <w:bookmarkStart w:id="45" w:name="_Toc15626"/>
      <w:r>
        <w:rPr>
          <w:rFonts w:hint="eastAsia"/>
          <w:lang w:val="en-US" w:eastAsia="zh-CN"/>
        </w:rPr>
        <w:t>技能评价指标完成情况</w:t>
      </w:r>
      <w:bookmarkEnd w:id="44"/>
      <w:bookmarkEnd w:id="45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/>
        </w:rPr>
      </w:pPr>
      <w:r>
        <w:rPr>
          <w:rFonts w:hint="eastAsia"/>
          <w:lang w:val="en-US" w:eastAsia="zh-CN"/>
        </w:rPr>
        <w:t>根据技能评价管理制度相关规定，技能评价的指标为技能评定覆盖率</w:t>
      </w:r>
      <w:r>
        <w:rPr>
          <w:rFonts w:hint="eastAsia"/>
          <w:spacing w:val="-3"/>
          <w:sz w:val="24"/>
          <w:szCs w:val="24"/>
          <w:lang w:eastAsia="zh-CN"/>
        </w:rPr>
        <w:t>，</w:t>
      </w:r>
      <w:r>
        <w:rPr>
          <w:rFonts w:hint="eastAsia"/>
          <w:spacing w:val="-3"/>
          <w:sz w:val="24"/>
          <w:szCs w:val="24"/>
          <w:lang w:val="en-US" w:eastAsia="zh-CN"/>
        </w:rPr>
        <w:t>计算方式为</w:t>
      </w:r>
      <w:r>
        <w:rPr>
          <w:rFonts w:hint="eastAsia"/>
          <w:spacing w:val="-2"/>
          <w:sz w:val="24"/>
          <w:szCs w:val="24"/>
          <w:lang w:val="en-US" w:eastAsia="zh-CN"/>
        </w:rPr>
        <w:t>参与技能评定运维人员/运维人员总数</w:t>
      </w:r>
      <w:r>
        <w:rPr>
          <w:spacing w:val="-3"/>
          <w:sz w:val="24"/>
          <w:szCs w:val="24"/>
        </w:rPr>
        <w:t>*100%</w:t>
      </w:r>
      <w:r>
        <w:rPr>
          <w:rFonts w:hint="eastAsia"/>
          <w:spacing w:val="-2"/>
          <w:sz w:val="24"/>
          <w:szCs w:val="24"/>
          <w:lang w:val="en-US" w:eastAsia="zh-CN"/>
        </w:rPr>
        <w:t>，考核频次为年度考核。通过跟踪技能评价完成情况得知，截止2025年10月，完成了对6名新入职员工和7名调岗储备员工的技能评价，其他员工技能评价计划于12月份完成。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46" w:name="_Toc4206"/>
      <w:r>
        <w:rPr>
          <w:rFonts w:hint="eastAsia"/>
          <w:lang w:val="en-US" w:eastAsia="zh-CN"/>
        </w:rPr>
        <w:t>资源管理总结</w:t>
      </w:r>
      <w:bookmarkEnd w:id="46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47" w:name="_Toc27453"/>
      <w:r>
        <w:rPr>
          <w:rFonts w:hint="eastAsia"/>
          <w:lang w:val="en-US" w:eastAsia="zh-CN"/>
        </w:rPr>
        <w:t>资源管理情况总结</w:t>
      </w:r>
      <w:bookmarkEnd w:id="47"/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48" w:name="_Toc30095"/>
      <w:r>
        <w:rPr>
          <w:rFonts w:hint="eastAsia"/>
          <w:lang w:val="en-US" w:eastAsia="zh-CN"/>
        </w:rPr>
        <w:t>运维工具管理情况总结</w:t>
      </w:r>
      <w:bookmarkEnd w:id="48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t>2025年建立运维服务</w:t>
      </w:r>
      <w:r>
        <w:rPr>
          <w:rFonts w:hint="eastAsia"/>
          <w:lang w:val="en-US" w:eastAsia="zh-CN"/>
        </w:rPr>
        <w:t>能力</w:t>
      </w:r>
      <w:r>
        <w:t>管理体系制度，各项管理初步实现通过运维工具进行管理。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加强了流程管理工具的改进工作：收集使用意见，对工具进行了部分改进，提高了工具的实用性；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加强了自动化管理工具的应用 ：对主要的运维工程师加强了自动化管理工具的培训，提升了操作能力。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运维工具考核指标为自评估次数，要求每年最少进行1次自评估。截止2025年10月对运维工具进行了一次自评估，达到设定目标要求。</w:t>
      </w: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49" w:name="_Toc31049"/>
      <w:r>
        <w:rPr>
          <w:rFonts w:hint="eastAsia"/>
          <w:lang w:val="en-US" w:eastAsia="zh-CN"/>
        </w:rPr>
        <w:t>服务台管理情况总结</w:t>
      </w:r>
      <w:bookmarkEnd w:id="49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服务台专员严格执行《服务台管理制度》，作为一线人员及时对客户疑问进行解答，极大的提高了客户满意度，经过满意度调查得知，截止2025年10月，客户满意度得分为95分，达到客户满意度指标要求的95分。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据统计1-10月份的服务台事件共420件，回访420件，回访率达到100%，满足KPI指标要求的服务台回访率≥95%的指标且没有客户投诉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统计第一、二和三季度的服务台派单成功率得出，派单成功率分别是95%、100%、100%。满足KPI指标要求的每季度</w:t>
      </w:r>
      <w:r>
        <w:rPr>
          <w:spacing w:val="-3"/>
          <w:sz w:val="24"/>
          <w:szCs w:val="24"/>
        </w:rPr>
        <w:t>服务台派单成功</w:t>
      </w:r>
      <w:r>
        <w:rPr>
          <w:sz w:val="24"/>
          <w:szCs w:val="24"/>
        </w:rPr>
        <w:t>率</w:t>
      </w:r>
      <w:r>
        <w:rPr>
          <w:rFonts w:hint="eastAsia"/>
          <w:lang w:val="en-US" w:eastAsia="zh-CN"/>
        </w:rPr>
        <w:t>≥95%的指标。</w:t>
      </w: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50" w:name="_Toc27962"/>
      <w:r>
        <w:rPr>
          <w:rFonts w:hint="eastAsia"/>
          <w:lang w:val="en-US" w:eastAsia="zh-CN"/>
        </w:rPr>
        <w:t>备件库管理情况总结</w:t>
      </w:r>
      <w:bookmarkEnd w:id="50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t>2025年，公司持续加强备件库的规范化管理，将其作为保障运维服务连续性与响应效率的重要基础。通过完善库存管理制度、推行定期盘点机制及强化流程执行，各季度备件</w:t>
      </w:r>
      <w:r>
        <w:rPr>
          <w:rFonts w:hint="eastAsia"/>
          <w:lang w:val="en-US" w:eastAsia="zh-CN"/>
        </w:rPr>
        <w:t>可用率</w:t>
      </w:r>
      <w:r>
        <w:t>均保持在95%以上，达到既定质量目标，有效支持了一线运维工作的顺利开展。</w:t>
      </w: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51" w:name="_Toc7799"/>
      <w:r>
        <w:rPr>
          <w:rFonts w:hint="eastAsia"/>
          <w:lang w:val="en-US" w:eastAsia="zh-CN"/>
        </w:rPr>
        <w:t>服务知识管理情况总结</w:t>
      </w:r>
      <w:bookmarkEnd w:id="51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t>2025年重点加强了</w:t>
      </w:r>
      <w:r>
        <w:rPr>
          <w:rFonts w:hint="eastAsia"/>
          <w:lang w:val="en-US" w:eastAsia="zh-CN"/>
        </w:rPr>
        <w:t>服务知识</w:t>
      </w:r>
      <w:r>
        <w:t>管理工作：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补充内容，提升质量：组织各个项目组对知识库的信息架构进行梳理，提升结构的合理性，对于通用知识，组织进行集中录入，规范入库管理和知识审核；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eastAsia"/>
          <w:lang w:val="en-US" w:eastAsia="zh-CN"/>
        </w:rPr>
      </w:pPr>
      <w:r>
        <w:t>建立了</w:t>
      </w:r>
      <w:r>
        <w:rPr>
          <w:rFonts w:hint="eastAsia"/>
          <w:lang w:eastAsia="zh-CN"/>
        </w:rPr>
        <w:t>《</w:t>
      </w:r>
      <w:r>
        <w:rPr>
          <w:rFonts w:hint="eastAsia"/>
          <w:lang w:val="en-US" w:eastAsia="zh-CN"/>
        </w:rPr>
        <w:t>服务知识管理制度</w:t>
      </w:r>
      <w:r>
        <w:rPr>
          <w:rFonts w:hint="eastAsia"/>
          <w:lang w:eastAsia="zh-CN"/>
        </w:rPr>
        <w:t>》</w:t>
      </w:r>
      <w:r>
        <w:t>，加强对知识库的管理工作；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第一、二和三季度分别录入知识40条、38条和40条，满足KPI指标要求的服务知识录入条数≥20条。</w:t>
      </w: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52" w:name="_Toc1088"/>
      <w:r>
        <w:rPr>
          <w:rFonts w:hint="eastAsia"/>
          <w:lang w:val="en-US" w:eastAsia="zh-CN"/>
        </w:rPr>
        <w:t>最终软件库管理情况总结</w:t>
      </w:r>
      <w:bookmarkEnd w:id="52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t>2025年重点加强了最终软件库管理工作：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最终软件库管理制度，实现了代码管理的</w:t>
      </w:r>
      <w:r>
        <w:t>标准化及制度化，</w:t>
      </w:r>
      <w:r>
        <w:rPr>
          <w:rFonts w:hint="eastAsia"/>
          <w:lang w:val="en-US" w:eastAsia="zh-CN"/>
        </w:rPr>
        <w:t>提高</w:t>
      </w:r>
      <w:r>
        <w:t>运维人员</w:t>
      </w:r>
      <w:r>
        <w:rPr>
          <w:rFonts w:hint="eastAsia"/>
          <w:lang w:val="en-US" w:eastAsia="zh-CN"/>
        </w:rPr>
        <w:t>功率效率，极大的降低了版本出错情况</w:t>
      </w:r>
      <w:r>
        <w:t>，因此</w:t>
      </w:r>
      <w:r>
        <w:rPr>
          <w:rFonts w:hint="eastAsia"/>
          <w:lang w:val="en-US" w:eastAsia="zh-CN"/>
        </w:rPr>
        <w:t>软件版本正确</w:t>
      </w:r>
      <w:r>
        <w:t>率逐年提升，2025年设定的</w:t>
      </w:r>
      <w:r>
        <w:rPr>
          <w:rFonts w:hint="eastAsia"/>
          <w:lang w:val="en-US" w:eastAsia="zh-CN"/>
        </w:rPr>
        <w:t>软件入库合格率</w:t>
      </w:r>
      <w:r>
        <w:t>均为9</w:t>
      </w:r>
      <w:r>
        <w:rPr>
          <w:rFonts w:hint="eastAsia"/>
          <w:lang w:val="en-US" w:eastAsia="zh-CN"/>
        </w:rPr>
        <w:t>8</w:t>
      </w:r>
      <w:r>
        <w:t>%，经</w:t>
      </w:r>
      <w:r>
        <w:rPr>
          <w:rFonts w:hint="eastAsia"/>
          <w:lang w:val="en-US" w:eastAsia="zh-CN"/>
        </w:rPr>
        <w:t>考核</w:t>
      </w:r>
      <w:r>
        <w:t>，2025年</w:t>
      </w:r>
      <w:r>
        <w:rPr>
          <w:rFonts w:hint="eastAsia"/>
          <w:lang w:val="en-US" w:eastAsia="zh-CN"/>
        </w:rPr>
        <w:t>第一、二和三季度软件入库合格率均为95%、97%、100%</w:t>
      </w:r>
      <w:r>
        <w:t>。</w:t>
      </w:r>
      <w:r>
        <w:rPr>
          <w:rFonts w:hint="eastAsia"/>
          <w:lang w:val="en-US" w:eastAsia="zh-CN"/>
        </w:rPr>
        <w:t>其中第一和二季度没有达到指标要求。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虽未能达到考核指标要求，但是仍然在一定程度上提高了提高了开发效率，根据需要需要组织研发部及相关人员学习最终软件库管理制度，争取达到考核目标值。</w:t>
      </w: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53" w:name="_Toc17496"/>
      <w:r>
        <w:rPr>
          <w:rFonts w:hint="eastAsia"/>
          <w:lang w:val="en-US" w:eastAsia="zh-CN"/>
        </w:rPr>
        <w:t>服务数据管理情况总结</w:t>
      </w:r>
      <w:bookmarkEnd w:id="53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t>2025年重点加强了服务数据管理工作：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规范采集源头：制定统一的《</w:t>
      </w:r>
      <w:r>
        <w:rPr>
          <w:rFonts w:hint="eastAsia"/>
          <w:lang w:val="en-US" w:eastAsia="zh-CN"/>
        </w:rPr>
        <w:t>服务数据管理制度</w:t>
      </w:r>
      <w:r>
        <w:t>》，明确监控数据、故障记录、工单处理等各类数据的录入格式、必填字段。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对运维</w:t>
      </w:r>
      <w:r>
        <w:rPr>
          <w:rFonts w:hint="eastAsia"/>
          <w:lang w:val="en-US" w:eastAsia="zh-CN"/>
        </w:rPr>
        <w:t>服务</w:t>
      </w:r>
      <w:r>
        <w:t>人员开展了专项培训，结合实际案例讲解标准要求，考核合格后方可参与数据采集，从源头减少错误。</w:t>
      </w:r>
    </w:p>
    <w:p>
      <w:pPr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78" w:line="362" w:lineRule="auto"/>
        <w:ind w:left="425" w:right="123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 w:hint="eastAsia"/>
          <w:spacing w:val="3"/>
          <w:sz w:val="24"/>
          <w:szCs w:val="24"/>
        </w:rPr>
        <w:t>2025年度运维服务能力管理指标体系</w:t>
      </w:r>
      <w:r>
        <w:rPr>
          <w:rFonts w:ascii="宋体" w:eastAsia="宋体" w:hAnsi="宋体" w:cs="宋体" w:hint="eastAsia"/>
          <w:spacing w:val="3"/>
          <w:sz w:val="24"/>
          <w:szCs w:val="24"/>
          <w:lang w:val="en-US" w:eastAsia="zh-CN"/>
        </w:rPr>
        <w:t>中要求服务数据的季度分析利用次数≥2次</w:t>
      </w:r>
      <w:r>
        <w:rPr>
          <w:rFonts w:ascii="宋体" w:eastAsia="宋体" w:hAnsi="宋体" w:cs="宋体"/>
          <w:spacing w:val="2"/>
          <w:sz w:val="24"/>
          <w:szCs w:val="24"/>
        </w:rPr>
        <w:t>，</w:t>
      </w:r>
      <w:r>
        <w:rPr>
          <w:rFonts w:ascii="宋体" w:eastAsia="宋体" w:hAnsi="宋体" w:cs="宋体" w:hint="eastAsia"/>
          <w:spacing w:val="2"/>
          <w:sz w:val="24"/>
          <w:szCs w:val="24"/>
          <w:lang w:val="en-US" w:eastAsia="zh-CN"/>
        </w:rPr>
        <w:t>2025年第一、二和三季度服务数据分析利用次数分别为2次、3次、3次</w:t>
      </w:r>
      <w:r>
        <w:rPr>
          <w:rFonts w:ascii="宋体" w:eastAsia="宋体" w:hAnsi="宋体" w:cs="宋体"/>
          <w:spacing w:val="-4"/>
          <w:sz w:val="24"/>
          <w:szCs w:val="24"/>
        </w:rPr>
        <w:t>。目前公司服务数据管理情况良好，但仍有提升的空间。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54" w:name="_Toc21989"/>
      <w:r>
        <w:rPr>
          <w:rFonts w:hint="eastAsia"/>
          <w:lang w:val="en-US" w:eastAsia="zh-CN"/>
        </w:rPr>
        <w:t>技术管理总结</w:t>
      </w:r>
      <w:bookmarkEnd w:id="54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5" w:name="heading_5"/>
      <w:bookmarkStart w:id="56" w:name="_Toc31024"/>
      <w:r>
        <w:t>物管平台-物联标识系统</w:t>
      </w:r>
      <w:bookmarkEnd w:id="55"/>
      <w:bookmarkEnd w:id="56"/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7" w:name="heading_6"/>
      <w:bookmarkStart w:id="58" w:name="_Toc24361"/>
      <w:r>
        <w:t>项目总体</w:t>
      </w:r>
      <w:bookmarkEnd w:id="57"/>
      <w:r>
        <w:rPr>
          <w:rFonts w:hint="eastAsia"/>
          <w:lang w:val="en-US" w:eastAsia="zh-CN"/>
        </w:rPr>
        <w:t>概况</w:t>
      </w:r>
      <w:bookmarkEnd w:id="58"/>
    </w:p>
    <w:tbl>
      <w:tblPr>
        <w:tblStyle w:val="TableNormal"/>
        <w:tblW w:w="8425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0"/>
        <w:gridCol w:w="5425"/>
      </w:tblGrid>
      <w:tr>
        <w:tblPrEx>
          <w:tblW w:w="8425" w:type="dxa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内容分类</w:t>
            </w:r>
          </w:p>
        </w:tc>
        <w:tc>
          <w:tcPr>
            <w:tcW w:w="542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详细说明</w:t>
            </w:r>
          </w:p>
        </w:tc>
      </w:tr>
      <w:tr>
        <w:tblPrEx>
          <w:tblW w:w="8425" w:type="dxa"/>
          <w:tblInd w:w="0" w:type="dxa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总体目标</w:t>
            </w:r>
          </w:p>
        </w:tc>
        <w:tc>
          <w:tcPr>
            <w:tcW w:w="542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10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eastAsia="等线" w:hAnsi="Arial" w:cs="Arial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建设基于物联网技术的物联标识系统，实现物联网设备的注册、审核、解析、标识管理，深化物联网设备信息应用；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10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打造统一设备标识管理体系，为设备新增、应用深化、数据共享及与业务系统深度融合提供技术基础。</w:t>
            </w:r>
          </w:p>
        </w:tc>
      </w:tr>
      <w:tr>
        <w:tblPrEx>
          <w:tblW w:w="8425" w:type="dxa"/>
          <w:tblInd w:w="0" w:type="dxa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总体计划</w:t>
            </w:r>
          </w:p>
        </w:tc>
        <w:tc>
          <w:tcPr>
            <w:tcW w:w="542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11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eastAsia="等线" w:hAnsi="Arial" w:cs="Arial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202</w:t>
            </w:r>
            <w:r>
              <w:rPr>
                <w:rFonts w:eastAsia="等线" w:cs="Arial" w:hint="eastAsia"/>
                <w:sz w:val="22"/>
                <w:lang w:val="en-US" w:eastAsia="zh-CN"/>
              </w:rPr>
              <w:t>5</w:t>
            </w:r>
            <w:r>
              <w:rPr>
                <w:rFonts w:ascii="Arial" w:eastAsia="等线" w:hAnsi="Arial" w:cs="Arial"/>
                <w:sz w:val="22"/>
              </w:rPr>
              <w:t>年5月：完成需求调研、需求说明书编制、原型设计、数据库表设计及数据来源梳理；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11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202</w:t>
            </w:r>
            <w:r>
              <w:rPr>
                <w:rFonts w:eastAsia="等线" w:cs="Arial" w:hint="eastAsia"/>
                <w:sz w:val="22"/>
                <w:lang w:val="en-US" w:eastAsia="zh-CN"/>
              </w:rPr>
              <w:t>5</w:t>
            </w:r>
            <w:r>
              <w:rPr>
                <w:rFonts w:ascii="Arial" w:eastAsia="等线" w:hAnsi="Arial" w:cs="Arial"/>
                <w:sz w:val="22"/>
              </w:rPr>
              <w:t>年6-7月：完成UI设计、前端开发、后端开发、接口开发及数据联调；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11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202</w:t>
            </w:r>
            <w:r>
              <w:rPr>
                <w:rFonts w:eastAsia="等线" w:cs="Arial" w:hint="eastAsia"/>
                <w:sz w:val="22"/>
                <w:lang w:val="en-US" w:eastAsia="zh-CN"/>
              </w:rPr>
              <w:t>5</w:t>
            </w:r>
            <w:r>
              <w:rPr>
                <w:rFonts w:ascii="Arial" w:eastAsia="等线" w:hAnsi="Arial" w:cs="Arial"/>
                <w:sz w:val="22"/>
              </w:rPr>
              <w:t>年8月：完成系统联调及问题整改，达到上线标准；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11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202</w:t>
            </w:r>
            <w:r>
              <w:rPr>
                <w:rFonts w:eastAsia="等线" w:cs="Arial" w:hint="eastAsia"/>
                <w:sz w:val="22"/>
                <w:lang w:val="en-US" w:eastAsia="zh-CN"/>
              </w:rPr>
              <w:t>5</w:t>
            </w:r>
            <w:r>
              <w:rPr>
                <w:rFonts w:ascii="Arial" w:eastAsia="等线" w:hAnsi="Arial" w:cs="Arial"/>
                <w:sz w:val="22"/>
              </w:rPr>
              <w:t>年9月：完成上线准备及部署。</w:t>
            </w:r>
          </w:p>
        </w:tc>
      </w:tr>
      <w:tr>
        <w:tblPrEx>
          <w:tblW w:w="8425" w:type="dxa"/>
          <w:tblInd w:w="0" w:type="dxa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当前进度</w:t>
            </w:r>
          </w:p>
        </w:tc>
        <w:tc>
          <w:tcPr>
            <w:tcW w:w="542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3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eastAsia="宋体"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完成所有功能开发，进入试运行阶段</w:t>
            </w:r>
          </w:p>
        </w:tc>
      </w:tr>
    </w:tbl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9" w:name="_Toc30369"/>
      <w:r>
        <w:t>整体计划推进表</w:t>
      </w:r>
      <w:bookmarkEnd w:id="59"/>
    </w:p>
    <w:tbl>
      <w:tblPr>
        <w:tblStyle w:val="TableGrid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752"/>
        <w:gridCol w:w="1637"/>
        <w:gridCol w:w="3576"/>
        <w:gridCol w:w="2555"/>
      </w:tblGrid>
      <w:tr>
        <w:tblPrEx>
          <w:tblW w:w="0" w:type="auto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2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  <w:rPr>
                <w:rFonts w:eastAsia="宋体"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任务阶段</w:t>
            </w:r>
          </w:p>
        </w:tc>
        <w:tc>
          <w:tcPr>
            <w:tcW w:w="1637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  <w:rPr>
                <w:rFonts w:eastAsia="宋体"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时间节点</w:t>
            </w:r>
          </w:p>
        </w:tc>
        <w:tc>
          <w:tcPr>
            <w:tcW w:w="3576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eastAsia="宋体"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工作内容</w:t>
            </w:r>
          </w:p>
        </w:tc>
        <w:tc>
          <w:tcPr>
            <w:tcW w:w="2555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完成情况</w:t>
            </w:r>
          </w:p>
        </w:tc>
      </w:tr>
      <w:tr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2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  <w:rPr>
                <w:rFonts w:eastAsia="宋体"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需求调研</w:t>
            </w:r>
          </w:p>
        </w:tc>
        <w:tc>
          <w:tcPr>
            <w:tcW w:w="1637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  <w:rPr>
                <w:rFonts w:eastAsia="宋体"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2025年4-5月</w:t>
            </w:r>
          </w:p>
        </w:tc>
        <w:tc>
          <w:tcPr>
            <w:tcW w:w="3576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  <w:rPr>
                <w:rFonts w:eastAsia="宋体"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完成需求调研，编制需求说明书，进行原型设计，完成数据库表设计和数据来源梳理</w:t>
            </w:r>
          </w:p>
        </w:tc>
        <w:tc>
          <w:tcPr>
            <w:tcW w:w="2555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已完成</w:t>
            </w:r>
          </w:p>
        </w:tc>
      </w:tr>
      <w:tr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8"/>
        </w:trPr>
        <w:tc>
          <w:tcPr>
            <w:tcW w:w="752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  <w:rPr>
                <w:rFonts w:eastAsia="宋体"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开发</w:t>
            </w:r>
          </w:p>
        </w:tc>
        <w:tc>
          <w:tcPr>
            <w:tcW w:w="1637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2025年6-7月</w:t>
            </w:r>
          </w:p>
        </w:tc>
        <w:tc>
          <w:tcPr>
            <w:tcW w:w="3576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  <w:rPr>
                <w:rFonts w:eastAsia="宋体"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完成前端页面开发和后台接口调试</w:t>
            </w:r>
          </w:p>
        </w:tc>
        <w:tc>
          <w:tcPr>
            <w:tcW w:w="2555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已完成</w:t>
            </w:r>
          </w:p>
        </w:tc>
      </w:tr>
      <w:tr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2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  <w:rPr>
                <w:rFonts w:eastAsia="宋体"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上线准备</w:t>
            </w:r>
          </w:p>
        </w:tc>
        <w:tc>
          <w:tcPr>
            <w:tcW w:w="1637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  <w:rPr>
                <w:rFonts w:eastAsia="宋体"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2025年8月</w:t>
            </w:r>
          </w:p>
        </w:tc>
        <w:tc>
          <w:tcPr>
            <w:tcW w:w="3576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  <w:rPr>
                <w:rFonts w:eastAsia="宋体"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进行联调，解决已知问题，达到上线标准</w:t>
            </w:r>
          </w:p>
        </w:tc>
        <w:tc>
          <w:tcPr>
            <w:tcW w:w="2555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已完成</w:t>
            </w:r>
          </w:p>
        </w:tc>
      </w:tr>
      <w:tr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2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  <w:rPr>
                <w:rFonts w:eastAsia="宋体"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系统上线</w:t>
            </w:r>
          </w:p>
        </w:tc>
        <w:tc>
          <w:tcPr>
            <w:tcW w:w="1637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2025年9月</w:t>
            </w:r>
          </w:p>
        </w:tc>
        <w:tc>
          <w:tcPr>
            <w:tcW w:w="3576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完成系统上线</w:t>
            </w:r>
          </w:p>
        </w:tc>
        <w:tc>
          <w:tcPr>
            <w:tcW w:w="2555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已完成</w:t>
            </w:r>
          </w:p>
        </w:tc>
      </w:tr>
    </w:tbl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0" w:name="_Toc26942"/>
      <w:r>
        <w:t>整体功能介绍</w:t>
      </w:r>
      <w:bookmarkEnd w:id="60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1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t>系统核心模块包括标识管理、标识数据统计、数据同步、系统管理（用户/组织/菜单/角色管理）及移动应用，实现物联网设备全生命周期管理与数据服务。</w:t>
      </w:r>
      <w:r>
        <w:rPr>
          <w:rFonts w:hint="eastAsia"/>
          <w:lang w:val="en-US" w:eastAsia="zh-CN"/>
        </w:rPr>
        <w:t>如图1所示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right="0" w:firstLine="0" w:leftChars="0" w:rightChars="0" w:firstLineChars="0"/>
        <w:jc w:val="center"/>
        <w:textAlignment w:val="baseline"/>
        <w:rPr>
          <w:rFonts w:hint="eastAsia"/>
          <w:lang w:val="en-US" w:eastAsia="zh-CN"/>
        </w:rPr>
      </w:pPr>
      <w:r>
        <w:drawing>
          <wp:inline distT="0" distB="0" distL="114300" distR="114300">
            <wp:extent cx="5268595" cy="2981325"/>
            <wp:effectExtent l="0" t="0" r="4445" b="5715"/>
            <wp:docPr id="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2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981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1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标识管理模块支持批量二维码生成、Excel导出、二维码下载及标识置为无效等功能，满足设备标识批量操作需求。</w:t>
      </w:r>
      <w:r>
        <w:rPr>
          <w:rFonts w:hint="eastAsia"/>
          <w:lang w:val="en-US" w:eastAsia="zh-CN"/>
        </w:rPr>
        <w:t>如图2所示</w:t>
      </w:r>
    </w:p>
    <w:p>
      <w:pPr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right="0" w:firstLine="0" w:leftChars="0" w:rightChars="0" w:firstLineChars="0"/>
        <w:jc w:val="both"/>
        <w:textAlignment w:val="baseline"/>
      </w:pPr>
      <w:r>
        <w:drawing>
          <wp:inline distT="0" distB="0" distL="114300" distR="114300">
            <wp:extent cx="5269865" cy="2951480"/>
            <wp:effectExtent l="0" t="0" r="3175" b="5080"/>
            <wp:docPr id="8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951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1" w:name="_Toc26313"/>
      <w:r>
        <w:t>主要模块详情</w:t>
      </w:r>
      <w:bookmarkEnd w:id="61"/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1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数据统计</w:t>
      </w:r>
    </w:p>
    <w:p>
      <w:pPr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120" w:line="288" w:lineRule="auto"/>
        <w:jc w:val="left"/>
        <w:textAlignment w:val="baseline"/>
      </w:pPr>
      <w:r>
        <w:rPr>
          <w:rStyle w:val="Char0"/>
        </w:rPr>
        <w:t>以单位、设备类型为统计维度，采用柱状图可视化展示数据，支持全局及明细数据查看，助力设备分布与数量分析。</w:t>
      </w:r>
      <w:r>
        <w:drawing>
          <wp:inline distT="0" distB="0" distL="114300" distR="114300">
            <wp:extent cx="5269865" cy="2148840"/>
            <wp:effectExtent l="0" t="0" r="3175" b="0"/>
            <wp:docPr id="9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4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148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120" w:line="288" w:lineRule="auto"/>
        <w:jc w:val="left"/>
        <w:textAlignment w:val="baseline"/>
      </w:pPr>
      <w:r>
        <w:drawing>
          <wp:inline distT="0" distB="0" distL="114300" distR="114300">
            <wp:extent cx="5272405" cy="2384425"/>
            <wp:effectExtent l="0" t="0" r="635" b="8255"/>
            <wp:docPr id="10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5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384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1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数据同步</w:t>
      </w:r>
    </w:p>
    <w:p>
      <w:pPr>
        <w:pStyle w:val="a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t>实现与ISC系统的用户及组织信息同步，确保标识系统内的人员机构信息与主库一致，保障数据准确性。</w:t>
      </w:r>
      <w:r>
        <w:rPr>
          <w:rFonts w:hint="eastAsia"/>
          <w:lang w:val="en-US" w:eastAsia="zh-CN"/>
        </w:rPr>
        <w:t>如下图所示</w:t>
      </w:r>
      <w:r>
        <w:drawing>
          <wp:inline distT="0" distB="0" distL="114300" distR="114300">
            <wp:extent cx="5266690" cy="2293620"/>
            <wp:effectExtent l="0" t="0" r="6350" b="7620"/>
            <wp:docPr id="20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6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293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a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1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系统管理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Style w:val="Char0"/>
          <w:rFonts w:hint="eastAsia"/>
          <w:lang w:val="en-US"/>
        </w:rPr>
      </w:pPr>
      <w:r>
        <w:t>菜单管理支持自定义菜单名称、URL、路径、排序及显示状态等配置，提供返回、保存、删除及添加下级等操作按钮；组织管理记录组织名称、上级机构及创建时间等核心信息，支撑系统权限精细化管控。</w:t>
      </w:r>
      <w:r>
        <w:rPr>
          <w:rFonts w:hint="eastAsia"/>
          <w:lang w:val="en-US"/>
        </w:rPr>
        <w:t>如下图所示</w:t>
      </w:r>
    </w:p>
    <w:p>
      <w:pPr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120" w:line="288" w:lineRule="auto"/>
        <w:jc w:val="left"/>
        <w:textAlignment w:val="baseline"/>
      </w:pPr>
      <w:r>
        <w:drawing>
          <wp:inline distT="0" distB="0" distL="114300" distR="114300">
            <wp:extent cx="5262880" cy="2108835"/>
            <wp:effectExtent l="0" t="0" r="10160" b="9525"/>
            <wp:docPr id="21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7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2108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" w:eastAsia="等线" w:hAnsi="Arial" w:cs="Arial"/>
          <w:sz w:val="22"/>
        </w:rPr>
        <w:br/>
      </w:r>
      <w:r>
        <w:drawing>
          <wp:inline distT="0" distB="0" distL="114300" distR="114300">
            <wp:extent cx="5270500" cy="2116455"/>
            <wp:effectExtent l="0" t="0" r="2540" b="1905"/>
            <wp:docPr id="22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8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116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120" w:line="288" w:lineRule="auto"/>
        <w:jc w:val="left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支持权限管理功能，实现按需分配权限。进行严格管控</w:t>
      </w:r>
    </w:p>
    <w:p>
      <w:pPr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120" w:line="288" w:lineRule="auto"/>
        <w:jc w:val="left"/>
        <w:textAlignment w:val="baseline"/>
      </w:pPr>
      <w:r>
        <w:drawing>
          <wp:inline distT="0" distB="0" distL="114300" distR="114300">
            <wp:extent cx="5271135" cy="2820035"/>
            <wp:effectExtent l="0" t="0" r="1905" b="14605"/>
            <wp:docPr id="23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9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820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120" w:line="288" w:lineRule="auto"/>
        <w:jc w:val="left"/>
        <w:textAlignment w:val="baseline"/>
      </w:pPr>
      <w:r>
        <w:drawing>
          <wp:inline distT="0" distB="0" distL="114300" distR="114300">
            <wp:extent cx="5271135" cy="1597025"/>
            <wp:effectExtent l="0" t="0" r="1905" b="3175"/>
            <wp:docPr id="24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10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597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120" w:line="288" w:lineRule="auto"/>
        <w:jc w:val="left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同时支持设备管理功能</w:t>
      </w:r>
    </w:p>
    <w:p>
      <w:pPr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120" w:line="288" w:lineRule="auto"/>
        <w:jc w:val="left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62880" cy="2971165"/>
            <wp:effectExtent l="0" t="0" r="10160" b="635"/>
            <wp:docPr id="11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6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2971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2" w:name="_Toc11447"/>
      <w:r>
        <w:t>产品功能与实现目标</w:t>
      </w:r>
      <w:bookmarkEnd w:id="62"/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1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产品功能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支持海量采集终端与边缘物联代理的统一在线管理及远程运维；助力专业智能应用快速迭代升级，构建开放共享生态；实现采集数据标准化处理与存量系统接入，向企业中台及业务系统开放标准化数据接口。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1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实现目标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规范终端接入标准，整合终端信息存储；依托云平台与数据中台，强化物联平台服务能力；以服务、运维及数据可视化技术驱动业务，支撑各业务系统与物联平台对接，提升终端运维管理效率。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3" w:name="_Toc9005"/>
      <w:r>
        <w:t>隔离装置监控处置工具</w:t>
      </w:r>
      <w:bookmarkEnd w:id="63"/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4" w:name="_Toc6972"/>
      <w:r>
        <w:t>项目总体</w:t>
      </w:r>
      <w:r>
        <w:rPr>
          <w:rFonts w:hint="eastAsia"/>
          <w:lang w:val="en-US" w:eastAsia="zh-CN"/>
        </w:rPr>
        <w:t>概况</w:t>
      </w:r>
      <w:bookmarkEnd w:id="64"/>
    </w:p>
    <w:tbl>
      <w:tblPr>
        <w:tblStyle w:val="TableNormal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405"/>
        <w:gridCol w:w="7044"/>
      </w:tblGrid>
      <w:tr>
        <w:tblPrEx>
          <w:tblW w:w="0" w:type="auto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内容分类</w:t>
            </w:r>
          </w:p>
        </w:tc>
        <w:tc>
          <w:tcPr>
            <w:tcW w:w="70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详细说明</w:t>
            </w:r>
          </w:p>
        </w:tc>
      </w:tr>
      <w:tr>
        <w:tblPrEx>
          <w:tblW w:w="0" w:type="auto"/>
          <w:tblInd w:w="0" w:type="dxa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总体目标</w:t>
            </w:r>
          </w:p>
        </w:tc>
        <w:tc>
          <w:tcPr>
            <w:tcW w:w="70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深入研究隔离装置工作原理，研发自动监测处置工具，在不影响业务运行的前提下，通过实时监测与故障处理功能，5分钟内完成自动故障处置，提升外网业务系统运行稳定性。</w:t>
            </w:r>
          </w:p>
        </w:tc>
      </w:tr>
      <w:tr>
        <w:tblPrEx>
          <w:tblW w:w="0" w:type="auto"/>
          <w:tblInd w:w="0" w:type="dxa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总体计划</w:t>
            </w:r>
          </w:p>
        </w:tc>
        <w:tc>
          <w:tcPr>
            <w:tcW w:w="70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15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eastAsia="等线" w:hAnsi="Arial" w:cs="Arial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202</w:t>
            </w:r>
            <w:r>
              <w:rPr>
                <w:rFonts w:eastAsia="等线" w:cs="Arial" w:hint="eastAsia"/>
                <w:sz w:val="22"/>
                <w:lang w:val="en-US" w:eastAsia="zh-CN"/>
              </w:rPr>
              <w:t>5</w:t>
            </w:r>
            <w:r>
              <w:rPr>
                <w:rFonts w:ascii="Arial" w:eastAsia="等线" w:hAnsi="Arial" w:cs="Arial"/>
                <w:sz w:val="22"/>
              </w:rPr>
              <w:t>年1月：完成需求收集与确认；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15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202</w:t>
            </w:r>
            <w:r>
              <w:rPr>
                <w:rFonts w:eastAsia="等线" w:cs="Arial" w:hint="eastAsia"/>
                <w:sz w:val="22"/>
                <w:lang w:val="en-US" w:eastAsia="zh-CN"/>
              </w:rPr>
              <w:t>5</w:t>
            </w:r>
            <w:r>
              <w:rPr>
                <w:rFonts w:ascii="Arial" w:eastAsia="等线" w:hAnsi="Arial" w:cs="Arial"/>
                <w:sz w:val="22"/>
              </w:rPr>
              <w:t>年</w:t>
            </w:r>
            <w:r>
              <w:rPr>
                <w:rFonts w:eastAsia="等线" w:cs="Arial" w:hint="eastAsia"/>
                <w:sz w:val="22"/>
                <w:lang w:val="en-US" w:eastAsia="zh-CN"/>
              </w:rPr>
              <w:t>3-5</w:t>
            </w:r>
            <w:r>
              <w:rPr>
                <w:rFonts w:ascii="Arial" w:eastAsia="等线" w:hAnsi="Arial" w:cs="Arial"/>
                <w:sz w:val="22"/>
              </w:rPr>
              <w:t>月：开展四大功能模块（探测及处理、日志记录、短信邮件告警、日志审计）迭代研发与测试；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15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202</w:t>
            </w:r>
            <w:r>
              <w:rPr>
                <w:rFonts w:eastAsia="等线" w:cs="Arial" w:hint="eastAsia"/>
                <w:sz w:val="22"/>
                <w:lang w:val="en-US" w:eastAsia="zh-CN"/>
              </w:rPr>
              <w:t>5</w:t>
            </w:r>
            <w:r>
              <w:rPr>
                <w:rFonts w:ascii="Arial" w:eastAsia="等线" w:hAnsi="Arial" w:cs="Arial"/>
                <w:sz w:val="22"/>
              </w:rPr>
              <w:t>年</w:t>
            </w:r>
            <w:r>
              <w:rPr>
                <w:rFonts w:eastAsia="等线" w:cs="Arial" w:hint="eastAsia"/>
                <w:sz w:val="22"/>
                <w:lang w:val="en-US" w:eastAsia="zh-CN"/>
              </w:rPr>
              <w:t>6-7</w:t>
            </w:r>
            <w:r>
              <w:rPr>
                <w:rFonts w:ascii="Arial" w:eastAsia="等线" w:hAnsi="Arial" w:cs="Arial"/>
                <w:sz w:val="22"/>
              </w:rPr>
              <w:t>月：完成线上部署试用</w:t>
            </w:r>
            <w:r>
              <w:rPr>
                <w:rFonts w:eastAsia="等线" w:cs="Arial" w:hint="eastAsia"/>
                <w:sz w:val="22"/>
                <w:lang w:val="en-US" w:eastAsia="zh-CN"/>
              </w:rPr>
              <w:t>并进行BUG修复</w:t>
            </w:r>
            <w:r>
              <w:rPr>
                <w:rFonts w:ascii="Arial" w:eastAsia="等线" w:hAnsi="Arial" w:cs="Arial"/>
                <w:sz w:val="22"/>
              </w:rPr>
              <w:t>；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15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202</w:t>
            </w:r>
            <w:r>
              <w:rPr>
                <w:rFonts w:eastAsia="等线" w:cs="Arial" w:hint="eastAsia"/>
                <w:sz w:val="22"/>
                <w:lang w:val="en-US" w:eastAsia="zh-CN"/>
              </w:rPr>
              <w:t>5</w:t>
            </w:r>
            <w:r>
              <w:rPr>
                <w:rFonts w:ascii="Arial" w:eastAsia="等线" w:hAnsi="Arial" w:cs="Arial"/>
                <w:sz w:val="22"/>
              </w:rPr>
              <w:t>年</w:t>
            </w:r>
            <w:r>
              <w:rPr>
                <w:rFonts w:eastAsia="等线" w:cs="Arial" w:hint="eastAsia"/>
                <w:sz w:val="22"/>
                <w:lang w:val="en-US" w:eastAsia="zh-CN"/>
              </w:rPr>
              <w:t>8</w:t>
            </w:r>
            <w:r>
              <w:rPr>
                <w:rFonts w:ascii="Arial" w:eastAsia="等线" w:hAnsi="Arial" w:cs="Arial"/>
                <w:sz w:val="22"/>
              </w:rPr>
              <w:t>-</w:t>
            </w:r>
            <w:r>
              <w:rPr>
                <w:rFonts w:eastAsia="等线" w:cs="Arial" w:hint="eastAsia"/>
                <w:sz w:val="22"/>
                <w:lang w:val="en-US" w:eastAsia="zh-CN"/>
              </w:rPr>
              <w:t>10</w:t>
            </w:r>
            <w:r>
              <w:rPr>
                <w:rFonts w:ascii="Arial" w:eastAsia="等线" w:hAnsi="Arial" w:cs="Arial"/>
                <w:sz w:val="22"/>
              </w:rPr>
              <w:t>月：</w:t>
            </w:r>
            <w:r>
              <w:rPr>
                <w:rFonts w:eastAsia="等线" w:cs="Arial" w:hint="eastAsia"/>
                <w:sz w:val="22"/>
                <w:lang w:val="en-US" w:eastAsia="zh-CN"/>
              </w:rPr>
              <w:t>验收</w:t>
            </w:r>
            <w:r>
              <w:rPr>
                <w:rFonts w:ascii="Arial" w:eastAsia="等线" w:hAnsi="Arial" w:cs="Arial"/>
                <w:sz w:val="22"/>
              </w:rPr>
              <w:t>；</w:t>
            </w:r>
          </w:p>
        </w:tc>
      </w:tr>
      <w:tr>
        <w:tblPrEx>
          <w:tblW w:w="0" w:type="auto"/>
          <w:tblInd w:w="0" w:type="dxa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当前进度</w:t>
            </w:r>
          </w:p>
        </w:tc>
        <w:tc>
          <w:tcPr>
            <w:tcW w:w="70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eastAsia="宋体"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验收工作签字流程</w:t>
            </w:r>
          </w:p>
        </w:tc>
      </w:tr>
      <w:tr>
        <w:tblPrEx>
          <w:tblW w:w="0" w:type="auto"/>
          <w:tblInd w:w="0" w:type="dxa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本月任务</w:t>
            </w:r>
          </w:p>
        </w:tc>
        <w:tc>
          <w:tcPr>
            <w:tcW w:w="70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eastAsia="宋体"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完成签字验收</w:t>
            </w:r>
          </w:p>
        </w:tc>
      </w:tr>
      <w:tr>
        <w:tblPrEx>
          <w:tblW w:w="0" w:type="auto"/>
          <w:tblInd w:w="0" w:type="dxa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待协调事项</w:t>
            </w:r>
          </w:p>
        </w:tc>
        <w:tc>
          <w:tcPr>
            <w:tcW w:w="70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无</w:t>
            </w:r>
          </w:p>
        </w:tc>
      </w:tr>
      <w:tr>
        <w:tblPrEx>
          <w:tblW w:w="0" w:type="auto"/>
          <w:tblInd w:w="0" w:type="dxa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现存问题</w:t>
            </w:r>
          </w:p>
        </w:tc>
        <w:tc>
          <w:tcPr>
            <w:tcW w:w="70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无</w:t>
            </w:r>
          </w:p>
        </w:tc>
      </w:tr>
    </w:tbl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5" w:name="_Toc17450"/>
      <w:r>
        <w:t>整体功能介绍</w:t>
      </w:r>
      <w:bookmarkEnd w:id="65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系统包含监测及处置、日志记录、短信邮件告警、日志审计四大核心模块，实现隔离装置的实时监测与智能化故障处理，解决传统人工运维效率低的问题，提升外网业务系统稳定性。</w:t>
      </w: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6" w:name="_Toc27585"/>
      <w:r>
        <w:t>主要模块详情</w:t>
      </w:r>
      <w:bookmarkEnd w:id="66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eastAsia="宋体" w:hint="default"/>
          <w:lang w:val="en-US" w:eastAsia="zh-CN"/>
        </w:rPr>
      </w:pPr>
      <w:r>
        <w:t>监控模块是核心功能载体，实现隔离装置设备线上化管理与实时监控，具备5分钟自动巡检、异常关闭后自动重启等能力，彻底实现隔离装置运维自动化，减少人工干预成本。</w:t>
      </w:r>
      <w:r>
        <w:rPr>
          <w:rFonts w:hint="eastAsia"/>
          <w:lang w:val="en-US" w:eastAsia="zh-CN"/>
        </w:rPr>
        <w:t>监控功能支持总体查看设备负载趋势，如下图：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drawing>
          <wp:inline distT="0" distB="0" distL="114300" distR="114300">
            <wp:extent cx="5259070" cy="2442845"/>
            <wp:effectExtent l="0" t="0" r="13970" b="10795"/>
            <wp:docPr id="26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12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59070" cy="2442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日志记录系统的操作情况，如下图：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drawing>
          <wp:inline distT="0" distB="0" distL="114300" distR="114300">
            <wp:extent cx="5266690" cy="2218055"/>
            <wp:effectExtent l="0" t="0" r="6350" b="6985"/>
            <wp:docPr id="27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1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218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短信邮件告警功能主要是实现对异常设备进行通知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drawing>
          <wp:inline distT="0" distB="0" distL="114300" distR="114300">
            <wp:extent cx="5273040" cy="3006725"/>
            <wp:effectExtent l="0" t="0" r="0" b="10795"/>
            <wp:docPr id="28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14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006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日志审计功能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67960" cy="1692910"/>
            <wp:effectExtent l="0" t="0" r="5080" b="13970"/>
            <wp:docPr id="29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15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1692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7" w:name="heading_17"/>
      <w:bookmarkStart w:id="68" w:name="_Toc19653"/>
      <w:r>
        <w:t>产品功能与实现目标</w:t>
      </w:r>
      <w:bookmarkEnd w:id="67"/>
      <w:bookmarkEnd w:id="68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t>产品功能：① 实现隔离装置代理数据库可用性探测；② 对探测失败的隔离装置代理进程自动重启；③ 记录并在监控页面展示探测失败日志；④ 支持短信及邮件告警功能，及时推送故障信息；⑤ 具备日志审计能力，确保所有操作可追溯。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t>实现目标：解决隔离装置代理进程“SQLproxy”假死问题。该问题会导致微信公众号、外网门户等重要系统无法正常使用，且传统依赖人工重启的方式效率低下。本工具通过自动化监测与处置，5分钟内完成故障修复，大幅提升内外网业务系统运行可靠性，改善客户体验与工作效率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69" w:name="_Toc9619"/>
      <w:r>
        <w:rPr>
          <w:rFonts w:hint="eastAsia"/>
          <w:lang w:val="en-US" w:eastAsia="zh-CN"/>
        </w:rPr>
        <w:t>运维手册研发成果说明</w:t>
      </w:r>
      <w:bookmarkEnd w:id="69"/>
    </w:p>
    <w:tbl>
      <w:tblPr>
        <w:tblStyle w:val="TableGrid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29"/>
        <w:gridCol w:w="1633"/>
        <w:gridCol w:w="1258"/>
        <w:gridCol w:w="2"/>
      </w:tblGrid>
      <w:tr>
        <w:tblPrEx>
          <w:tblW w:w="0" w:type="auto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2" w:type="dxa"/>
        </w:trPr>
        <w:tc>
          <w:tcPr>
            <w:tcW w:w="5629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  <w:rPr>
                <w:rFonts w:hint="default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手册名称</w:t>
            </w:r>
          </w:p>
        </w:tc>
        <w:tc>
          <w:tcPr>
            <w:tcW w:w="1633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计划时间</w:t>
            </w:r>
          </w:p>
        </w:tc>
        <w:tc>
          <w:tcPr>
            <w:tcW w:w="1258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完成情况</w:t>
            </w:r>
          </w:p>
        </w:tc>
      </w:tr>
      <w:tr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629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《Docker安装Jenkins》</w:t>
            </w:r>
          </w:p>
        </w:tc>
        <w:tc>
          <w:tcPr>
            <w:tcW w:w="1633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2025年5月</w:t>
            </w:r>
          </w:p>
        </w:tc>
        <w:tc>
          <w:tcPr>
            <w:tcW w:w="1260" w:type="dxa"/>
            <w:gridSpan w:val="2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已完成</w:t>
            </w:r>
          </w:p>
        </w:tc>
      </w:tr>
      <w:tr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/>
        </w:trPr>
        <w:tc>
          <w:tcPr>
            <w:tcW w:w="5629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《</w:t>
            </w:r>
            <w:r>
              <w:rPr>
                <w:rFonts w:hint="default"/>
                <w:sz w:val="21"/>
                <w:szCs w:val="21"/>
                <w:lang w:val="en-US" w:eastAsia="zh-CN"/>
              </w:rPr>
              <w:t>Jenkins构建java项目（分布式）</w:t>
            </w:r>
            <w:r>
              <w:rPr>
                <w:rFonts w:hint="eastAsia"/>
                <w:sz w:val="21"/>
                <w:szCs w:val="21"/>
                <w:lang w:val="en-US" w:eastAsia="zh-CN"/>
              </w:rPr>
              <w:t>》</w:t>
            </w:r>
          </w:p>
        </w:tc>
        <w:tc>
          <w:tcPr>
            <w:tcW w:w="1633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2025年10月</w:t>
            </w:r>
          </w:p>
        </w:tc>
        <w:tc>
          <w:tcPr>
            <w:tcW w:w="1260" w:type="dxa"/>
            <w:gridSpan w:val="2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已完成</w:t>
            </w:r>
          </w:p>
        </w:tc>
      </w:tr>
      <w:tr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/>
        </w:trPr>
        <w:tc>
          <w:tcPr>
            <w:tcW w:w="5629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  <w:rPr>
                <w:rFonts w:hint="eastAsia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《Jenkins构建前端项目（分布式）》</w:t>
            </w:r>
          </w:p>
        </w:tc>
        <w:tc>
          <w:tcPr>
            <w:tcW w:w="1633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2025年10月</w:t>
            </w:r>
          </w:p>
        </w:tc>
        <w:tc>
          <w:tcPr>
            <w:tcW w:w="1260" w:type="dxa"/>
            <w:gridSpan w:val="2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已完成</w:t>
            </w:r>
          </w:p>
        </w:tc>
      </w:tr>
    </w:tbl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drawing>
          <wp:inline distT="0" distB="0" distL="114300" distR="114300">
            <wp:extent cx="3848100" cy="1133475"/>
            <wp:effectExtent l="0" t="0" r="7620" b="952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48100" cy="1133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70" w:name="_Toc24071"/>
      <w:r>
        <w:rPr>
          <w:rFonts w:hint="eastAsia"/>
          <w:lang w:val="en-US" w:eastAsia="zh-CN"/>
        </w:rPr>
        <w:t>研发投入情况</w:t>
      </w:r>
      <w:bookmarkEnd w:id="70"/>
    </w:p>
    <w:tbl>
      <w:tblPr>
        <w:tblStyle w:val="TableNormal"/>
        <w:tblpPr w:leftFromText="180" w:rightFromText="180" w:vertAnchor="text" w:horzAnchor="page" w:tblpX="1769" w:tblpY="716"/>
        <w:tblOverlap w:val="never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380"/>
        <w:gridCol w:w="1380"/>
        <w:gridCol w:w="1275"/>
        <w:gridCol w:w="1248"/>
        <w:gridCol w:w="1248"/>
        <w:gridCol w:w="1944"/>
      </w:tblGrid>
      <w:tr>
        <w:tblPrEx>
          <w:tblW w:w="0" w:type="auto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序号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项目类别</w:t>
            </w:r>
          </w:p>
        </w:tc>
        <w:tc>
          <w:tcPr>
            <w:tcW w:w="127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项目名称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研发方式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资金投入（万元）</w:t>
            </w:r>
          </w:p>
        </w:tc>
        <w:tc>
          <w:tcPr>
            <w:tcW w:w="19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人员投入（人）</w:t>
            </w:r>
          </w:p>
        </w:tc>
      </w:tr>
      <w:tr>
        <w:tblPrEx>
          <w:tblW w:w="0" w:type="auto"/>
          <w:tblInd w:w="0" w:type="dxa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1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运维工具</w:t>
            </w:r>
          </w:p>
        </w:tc>
        <w:tc>
          <w:tcPr>
            <w:tcW w:w="127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物管平台-物联标识系统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自研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eastAsia="宋体" w:hint="default"/>
                <w:lang w:val="en-US" w:eastAsia="zh-CN"/>
              </w:rPr>
            </w:pPr>
            <w:r>
              <w:rPr>
                <w:rFonts w:eastAsia="等线" w:cs="Arial" w:hint="eastAsia"/>
                <w:sz w:val="22"/>
                <w:lang w:val="en-US" w:eastAsia="zh-CN"/>
              </w:rPr>
              <w:t>16</w:t>
            </w:r>
          </w:p>
        </w:tc>
        <w:tc>
          <w:tcPr>
            <w:tcW w:w="19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eastAsia="宋体" w:hint="default"/>
                <w:lang w:val="en-US" w:eastAsia="zh-CN"/>
              </w:rPr>
            </w:pPr>
            <w:r>
              <w:rPr>
                <w:rFonts w:eastAsia="等线" w:cs="Arial" w:hint="eastAsia"/>
                <w:sz w:val="22"/>
                <w:lang w:val="en-US" w:eastAsia="zh-CN"/>
              </w:rPr>
              <w:t>4</w:t>
            </w:r>
          </w:p>
        </w:tc>
      </w:tr>
      <w:tr>
        <w:tblPrEx>
          <w:tblW w:w="0" w:type="auto"/>
          <w:tblInd w:w="0" w:type="dxa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2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运维工具</w:t>
            </w:r>
          </w:p>
        </w:tc>
        <w:tc>
          <w:tcPr>
            <w:tcW w:w="127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隔离装置监控处置工具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自研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eastAsia="宋体" w:hint="default"/>
                <w:lang w:val="en-US" w:eastAsia="zh-CN"/>
              </w:rPr>
            </w:pPr>
            <w:r>
              <w:rPr>
                <w:rFonts w:eastAsia="等线" w:cs="Arial" w:hint="eastAsia"/>
                <w:sz w:val="22"/>
                <w:lang w:val="en-US" w:eastAsia="zh-CN"/>
              </w:rPr>
              <w:t>16</w:t>
            </w:r>
          </w:p>
        </w:tc>
        <w:tc>
          <w:tcPr>
            <w:tcW w:w="19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eastAsia="宋体"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</w:t>
            </w:r>
          </w:p>
        </w:tc>
      </w:tr>
      <w:tr>
        <w:tblPrEx>
          <w:tblW w:w="0" w:type="auto"/>
          <w:tblInd w:w="0" w:type="dxa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3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运维手册</w:t>
            </w:r>
          </w:p>
        </w:tc>
        <w:tc>
          <w:tcPr>
            <w:tcW w:w="1275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  <w:rPr>
                <w:rFonts w:ascii="Arial" w:eastAsia="宋体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《Docker安装Jenkins》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自研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2</w:t>
            </w:r>
          </w:p>
        </w:tc>
        <w:tc>
          <w:tcPr>
            <w:tcW w:w="19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2</w:t>
            </w:r>
          </w:p>
        </w:tc>
      </w:tr>
      <w:tr>
        <w:tblPrEx>
          <w:tblW w:w="0" w:type="auto"/>
          <w:tblInd w:w="0" w:type="dxa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eastAsia="等线" w:hAnsi="Arial" w:cs="Arial" w:hint="eastAsia"/>
                <w:sz w:val="22"/>
                <w:lang w:val="en-US" w:eastAsia="zh-CN"/>
              </w:rPr>
            </w:pPr>
            <w:r>
              <w:rPr>
                <w:rFonts w:eastAsia="等线" w:cs="Arial" w:hint="eastAsia"/>
                <w:sz w:val="22"/>
                <w:lang w:val="en-US" w:eastAsia="zh-CN"/>
              </w:rPr>
              <w:t>4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eastAsia="等线" w:hAnsi="Arial" w:cs="Arial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运维手册</w:t>
            </w:r>
          </w:p>
        </w:tc>
        <w:tc>
          <w:tcPr>
            <w:tcW w:w="1275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  <w:rPr>
                <w:rFonts w:ascii="Arial" w:eastAsia="宋体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《</w:t>
            </w:r>
            <w:r>
              <w:rPr>
                <w:rFonts w:hint="default"/>
                <w:sz w:val="21"/>
                <w:szCs w:val="21"/>
                <w:lang w:val="en-US" w:eastAsia="zh-CN"/>
              </w:rPr>
              <w:t>Jenkins构建java项目（分布式）</w:t>
            </w:r>
            <w:r>
              <w:rPr>
                <w:rFonts w:hint="eastAsia"/>
                <w:sz w:val="21"/>
                <w:szCs w:val="21"/>
                <w:lang w:val="en-US" w:eastAsia="zh-CN"/>
              </w:rPr>
              <w:t>》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eastAsia="等线" w:hAnsi="Arial" w:cs="Arial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自研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eastAsia="等线" w:hAnsi="Arial" w:cs="Arial" w:hint="eastAsia"/>
                <w:sz w:val="22"/>
                <w:lang w:val="en-US" w:eastAsia="zh-CN"/>
              </w:rPr>
            </w:pPr>
            <w:r>
              <w:rPr>
                <w:rFonts w:eastAsia="等线" w:cs="Arial" w:hint="eastAsia"/>
                <w:sz w:val="22"/>
                <w:lang w:val="en-US" w:eastAsia="zh-CN"/>
              </w:rPr>
              <w:t>4</w:t>
            </w:r>
          </w:p>
        </w:tc>
        <w:tc>
          <w:tcPr>
            <w:tcW w:w="19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eastAsia="等线" w:hAnsi="Arial" w:cs="Arial" w:hint="eastAsia"/>
                <w:sz w:val="22"/>
                <w:lang w:val="en-US" w:eastAsia="zh-CN"/>
              </w:rPr>
            </w:pPr>
            <w:r>
              <w:rPr>
                <w:rFonts w:eastAsia="等线" w:cs="Arial" w:hint="eastAsia"/>
                <w:sz w:val="22"/>
                <w:lang w:val="en-US" w:eastAsia="zh-CN"/>
              </w:rPr>
              <w:t>2</w:t>
            </w:r>
          </w:p>
        </w:tc>
      </w:tr>
      <w:tr>
        <w:tblPrEx>
          <w:tblW w:w="0" w:type="auto"/>
          <w:tblInd w:w="0" w:type="dxa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eastAsia="等线" w:cs="Arial" w:hint="default"/>
                <w:sz w:val="22"/>
                <w:lang w:val="en-US" w:eastAsia="zh-CN"/>
              </w:rPr>
            </w:pPr>
            <w:r>
              <w:rPr>
                <w:rFonts w:eastAsia="等线" w:cs="Arial" w:hint="eastAsia"/>
                <w:sz w:val="22"/>
                <w:lang w:val="en-US" w:eastAsia="zh-CN"/>
              </w:rPr>
              <w:t>5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eastAsia="等线" w:hAnsi="Arial" w:cs="Arial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运维手册</w:t>
            </w:r>
          </w:p>
        </w:tc>
        <w:tc>
          <w:tcPr>
            <w:tcW w:w="1275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  <w:rPr>
                <w:rFonts w:hint="eastAsia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Jenkins构建前端项目（分布式）</w:t>
            </w:r>
          </w:p>
        </w:tc>
        <w:tc>
          <w:tcPr>
            <w:tcW w:w="1248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eastAsia="等线" w:hAnsi="Arial" w:cs="Arial"/>
                <w:snapToGrid w:val="0"/>
                <w:color w:val="000000"/>
                <w:kern w:val="0"/>
                <w:sz w:val="22"/>
                <w:szCs w:val="21"/>
                <w:lang w:val="en-US" w:eastAsia="en-US" w:bidi="ar-SA"/>
              </w:rPr>
            </w:pPr>
            <w:r>
              <w:rPr>
                <w:rFonts w:ascii="Arial" w:eastAsia="等线" w:hAnsi="Arial" w:cs="Arial"/>
                <w:sz w:val="22"/>
              </w:rPr>
              <w:t>自研</w:t>
            </w:r>
          </w:p>
        </w:tc>
        <w:tc>
          <w:tcPr>
            <w:tcW w:w="1248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eastAsia="等线" w:hAnsi="Arial" w:cs="Arial" w:hint="eastAsia"/>
                <w:snapToGrid w:val="0"/>
                <w:color w:val="000000"/>
                <w:kern w:val="0"/>
                <w:sz w:val="22"/>
                <w:szCs w:val="21"/>
                <w:lang w:val="en-US" w:eastAsia="zh-CN" w:bidi="ar-SA"/>
              </w:rPr>
            </w:pPr>
            <w:r>
              <w:rPr>
                <w:rFonts w:eastAsia="等线" w:cs="Arial" w:hint="eastAsia"/>
                <w:sz w:val="22"/>
                <w:lang w:val="en-US" w:eastAsia="zh-CN"/>
              </w:rPr>
              <w:t>4</w:t>
            </w:r>
          </w:p>
        </w:tc>
        <w:tc>
          <w:tcPr>
            <w:tcW w:w="19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eastAsia="等线" w:cs="Arial" w:hint="default"/>
                <w:sz w:val="22"/>
                <w:lang w:val="en-US" w:eastAsia="zh-CN"/>
              </w:rPr>
            </w:pPr>
            <w:r>
              <w:rPr>
                <w:rFonts w:eastAsia="等线" w:cs="Arial" w:hint="eastAsia"/>
                <w:sz w:val="22"/>
                <w:lang w:val="en-US" w:eastAsia="zh-CN"/>
              </w:rPr>
              <w:t>1</w:t>
            </w:r>
          </w:p>
        </w:tc>
      </w:tr>
      <w:tr>
        <w:tblPrEx>
          <w:tblW w:w="0" w:type="auto"/>
          <w:tblInd w:w="0" w:type="dxa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35" w:type="dxa"/>
            <w:gridSpan w:val="3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合计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sz w:val="22"/>
              </w:rPr>
              <w:t>-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eastAsia="宋体" w:hint="default"/>
                <w:lang w:val="en-US" w:eastAsia="zh-CN"/>
              </w:rPr>
            </w:pPr>
            <w:r>
              <w:rPr>
                <w:rFonts w:eastAsia="等线" w:cs="Arial" w:hint="eastAsia"/>
                <w:sz w:val="22"/>
                <w:lang w:val="en-US" w:eastAsia="zh-CN"/>
              </w:rPr>
              <w:t>42</w:t>
            </w:r>
          </w:p>
        </w:tc>
        <w:tc>
          <w:tcPr>
            <w:tcW w:w="19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eastAsia="宋体" w:hint="default"/>
                <w:lang w:val="en-US" w:eastAsia="zh-CN"/>
              </w:rPr>
            </w:pPr>
          </w:p>
        </w:tc>
      </w:tr>
    </w:tbl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71" w:name="_Toc2237"/>
      <w:r>
        <w:rPr>
          <w:rFonts w:hint="eastAsia"/>
          <w:lang w:val="en-US" w:eastAsia="zh-CN"/>
        </w:rPr>
        <w:t>新技术研发</w:t>
      </w:r>
      <w:bookmarkEnd w:id="71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eastAsia="宋体" w:hint="eastAsia"/>
          <w:lang w:val="en-US" w:eastAsia="zh-CN"/>
        </w:rPr>
      </w:pPr>
      <w:r>
        <w:t>通过系列培训，团队成员已全面掌握Python在资源监控领域的应用能力。目前可熟练运用Pandas进行能耗数据分析，基于Flask/Dash构建实时监控可视化界面，并利用Scikit-learn实现设备异常检测模型。实践中成功将光伏电站监控系统的数据处理效率提升40%，预警准确率提高25%</w:t>
      </w:r>
      <w:r>
        <w:rPr>
          <w:rFonts w:hint="eastAsia"/>
          <w:lang w:eastAsia="zh-CN"/>
        </w:rPr>
        <w:t>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72" w:name="_Toc30295"/>
      <w:r>
        <w:rPr>
          <w:rFonts w:hint="eastAsia"/>
          <w:lang w:val="en-US" w:eastAsia="zh-CN"/>
        </w:rPr>
        <w:t>过程管理总结</w:t>
      </w:r>
      <w:bookmarkEnd w:id="72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73" w:name="_Toc26249"/>
      <w:r>
        <w:rPr>
          <w:rFonts w:hint="eastAsia"/>
          <w:lang w:val="en-US" w:eastAsia="zh-CN"/>
        </w:rPr>
        <w:t>过程框架设计管理情况总结</w:t>
      </w:r>
      <w:bookmarkEnd w:id="73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  <w:lang w:val="en-US" w:eastAsia="zh-CN"/>
        </w:rPr>
        <w:t>截止2025年月</w:t>
      </w:r>
      <w:r>
        <w:t>过程框架设计管理主要完成了以下工作：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16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对过程框架考核指标进行跟踪，考核指标要求每年至少对过程框架进行1次自评估。对过程框架自评估次数进行统计，截止2025年10月，对过程框架进行了1次自评估。满足KPI指标的要求。</w:t>
      </w:r>
      <w:bookmarkStart w:id="74" w:name="_GoBack"/>
      <w:bookmarkEnd w:id="74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16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eastAsia"/>
          <w:lang w:val="en-US" w:eastAsia="zh-CN"/>
        </w:rPr>
      </w:pPr>
      <w:r>
        <w:t>完成过程框架设计管理框架优化工作：</w:t>
      </w:r>
      <w:r>
        <w:rPr>
          <w:rFonts w:hint="eastAsia"/>
          <w:lang w:val="en-US" w:eastAsia="zh-CN"/>
        </w:rPr>
        <w:t>根据过程框架自评估结果，</w:t>
      </w:r>
      <w:r>
        <w:t>对过程框架进行优化调整。</w:t>
      </w:r>
      <w:r>
        <w:rPr>
          <w:rFonts w:hint="eastAsia"/>
          <w:lang w:val="en-US" w:eastAsia="zh-CN"/>
        </w:rPr>
        <w:t>使得</w:t>
      </w:r>
      <w:r>
        <w:t>所有项目过程框架设计</w:t>
      </w:r>
      <w:r>
        <w:rPr>
          <w:rFonts w:hint="eastAsia"/>
          <w:lang w:val="en-US" w:eastAsia="zh-CN"/>
        </w:rPr>
        <w:t>均与服务项目匹配</w:t>
      </w:r>
      <w:r>
        <w:t>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75" w:name="_Toc9314"/>
      <w:r>
        <w:rPr>
          <w:rFonts w:hint="eastAsia"/>
          <w:lang w:val="en-US" w:eastAsia="zh-CN"/>
        </w:rPr>
        <w:t>服务级别管理情况总结</w:t>
      </w:r>
      <w:bookmarkEnd w:id="75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  <w:lang w:val="en-US" w:eastAsia="zh-CN"/>
        </w:rPr>
        <w:t>截止2025年10月</w:t>
      </w:r>
      <w:r>
        <w:t>服务级别管理主要完成了以下工作：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17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服务级别管理工作达标</w:t>
      </w:r>
      <w:r>
        <w:rPr>
          <w:rFonts w:hint="eastAsia"/>
          <w:lang w:eastAsia="zh-CN"/>
        </w:rPr>
        <w:t>：</w:t>
      </w:r>
      <w:r>
        <w:rPr>
          <w:rFonts w:hint="eastAsia"/>
          <w:lang w:val="en-US" w:eastAsia="zh-CN"/>
        </w:rPr>
        <w:t>服务级别协议的考核指标为SLA达成率，计算方式为</w:t>
      </w:r>
      <w:r>
        <w:rPr>
          <w:spacing w:val="-4"/>
          <w:sz w:val="24"/>
          <w:szCs w:val="24"/>
        </w:rPr>
        <w:t>∑运维服务项目SLA达成率/运维服务项目</w:t>
      </w:r>
      <w:r>
        <w:rPr>
          <w:spacing w:val="-3"/>
          <w:sz w:val="24"/>
          <w:szCs w:val="24"/>
        </w:rPr>
        <w:t>数*100%</w:t>
      </w:r>
      <w:r>
        <w:rPr>
          <w:rFonts w:hint="eastAsia"/>
          <w:spacing w:val="-3"/>
          <w:sz w:val="24"/>
          <w:szCs w:val="24"/>
          <w:lang w:eastAsia="zh-CN"/>
        </w:rPr>
        <w:t>，</w:t>
      </w:r>
      <w:r>
        <w:rPr>
          <w:rFonts w:hint="eastAsia"/>
          <w:spacing w:val="-3"/>
          <w:sz w:val="24"/>
          <w:szCs w:val="24"/>
          <w:lang w:val="en-US" w:eastAsia="zh-CN"/>
        </w:rPr>
        <w:t>考核周期为年度。据统计，截止2025年10月SLA达成率为100%，满足SLA达成率≥95%的指标要求。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17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服务级别协议的监测工作：各个项目在运维工作中，对涉及影响服务级别指标的事件进行每个月的跟踪并记录</w:t>
      </w:r>
      <w:r>
        <w:rPr>
          <w:rFonts w:hint="eastAsia"/>
          <w:lang w:eastAsia="zh-CN"/>
        </w:rPr>
        <w:t>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17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服务级别协议的量化工作：部分项目组的服务级别协议条款还存在着不容易量化的问题，促成甲方修改了部分服务级别协议，使服务级别协议的达成情况方便测量与记录。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76" w:name="_Toc21300"/>
      <w:r>
        <w:rPr>
          <w:rFonts w:hint="eastAsia"/>
          <w:lang w:val="en-US" w:eastAsia="zh-CN"/>
        </w:rPr>
        <w:t>服务报告管理情况总结</w:t>
      </w:r>
      <w:bookmarkEnd w:id="76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  <w:lang w:val="en-US" w:eastAsia="zh-CN"/>
        </w:rPr>
        <w:t>截止</w:t>
      </w:r>
      <w:r>
        <w:t>2025年</w:t>
      </w:r>
      <w:r>
        <w:rPr>
          <w:rFonts w:hint="eastAsia"/>
          <w:lang w:val="en-US" w:eastAsia="zh-CN"/>
        </w:rPr>
        <w:t>10</w:t>
      </w:r>
      <w:r>
        <w:t>月，服务报告管理工作顺利完成，主要完成以下工作：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18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</w:rPr>
      </w:pPr>
      <w:r>
        <w:rPr>
          <w:rFonts w:hint="default"/>
        </w:rPr>
        <w:t>服务报告管理工作全面达标，服务报告按时交付率</w:t>
      </w:r>
      <w:r>
        <w:rPr>
          <w:rFonts w:hint="eastAsia"/>
          <w:lang w:val="en-US" w:eastAsia="zh-CN"/>
        </w:rPr>
        <w:t>为100%</w:t>
      </w:r>
      <w:r>
        <w:rPr>
          <w:rFonts w:hint="default"/>
        </w:rPr>
        <w:t>；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18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</w:rPr>
      </w:pPr>
      <w:r>
        <w:rPr>
          <w:rFonts w:hint="default"/>
        </w:rPr>
        <w:t>进一步加强服务事件的统计与分析工作，针对各运维对象的事件与性能状况开展系统化统计，注重对数据的多维度分析和解读，并提出改进建议，摒弃简单罗列数据的流水账式记录方式；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18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rPr>
          <w:rFonts w:hint="default"/>
        </w:rPr>
        <w:t>在当</w:t>
      </w:r>
      <w:r>
        <w:rPr>
          <w:rFonts w:hint="eastAsia"/>
          <w:lang w:val="en-US" w:eastAsia="zh-CN"/>
        </w:rPr>
        <w:t>季度</w:t>
      </w:r>
      <w:r>
        <w:rPr>
          <w:rFonts w:hint="default"/>
        </w:rPr>
        <w:t>服务报告中增设项目运行整体综述模块，对运维工作情况作出系统总结，重点归纳典型问题与风险，并对该月项目运行状态予以结论性评价。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77" w:name="_Toc4763"/>
      <w:r>
        <w:rPr>
          <w:rFonts w:hint="eastAsia"/>
          <w:lang w:val="en-US" w:eastAsia="zh-CN"/>
        </w:rPr>
        <w:t>事件管理情况总结</w:t>
      </w:r>
      <w:bookmarkEnd w:id="77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  <w:lang w:val="en-US" w:eastAsia="zh-CN"/>
        </w:rPr>
        <w:t>截止</w:t>
      </w:r>
      <w:r>
        <w:rPr>
          <w:rFonts w:hint="default"/>
        </w:rPr>
        <w:t>2025年</w:t>
      </w:r>
      <w:r>
        <w:rPr>
          <w:rFonts w:hint="eastAsia"/>
          <w:lang w:val="en-US" w:eastAsia="zh-CN"/>
        </w:rPr>
        <w:t>10</w:t>
      </w:r>
      <w:r>
        <w:rPr>
          <w:rFonts w:hint="default"/>
        </w:rPr>
        <w:t>月，事件管理工作达成预期目标，具体完成情况如下：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19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</w:rPr>
      </w:pPr>
      <w:r>
        <w:rPr>
          <w:rFonts w:hint="default"/>
        </w:rPr>
        <w:t>共处理事件53起，</w:t>
      </w:r>
      <w:r>
        <w:rPr>
          <w:rFonts w:hint="eastAsia"/>
          <w:lang w:val="en-US" w:eastAsia="zh-CN"/>
        </w:rPr>
        <w:t>统计每月</w:t>
      </w:r>
      <w:r>
        <w:rPr>
          <w:rFonts w:hint="default"/>
        </w:rPr>
        <w:t>事件及时响应率</w:t>
      </w:r>
      <w:r>
        <w:rPr>
          <w:rFonts w:hint="eastAsia"/>
          <w:lang w:val="en-US" w:eastAsia="zh-CN"/>
        </w:rPr>
        <w:t>均为100%</w:t>
      </w:r>
      <w:r>
        <w:rPr>
          <w:rFonts w:hint="default"/>
        </w:rPr>
        <w:t>，</w:t>
      </w:r>
      <w:r>
        <w:rPr>
          <w:rFonts w:hint="eastAsia"/>
          <w:lang w:val="en-US" w:eastAsia="zh-CN"/>
        </w:rPr>
        <w:t>超过KPI要求的90%；统计每月事件及时解决率，1-10月的事件及时解决率为95%、95%、95%、97%、97%、97%、95%、100%、100%、100%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均超过KPI要求的90%</w:t>
      </w:r>
      <w:r>
        <w:rPr>
          <w:rFonts w:hint="default"/>
        </w:rPr>
        <w:t>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19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</w:rPr>
      </w:pPr>
      <w:r>
        <w:rPr>
          <w:rFonts w:hint="default"/>
        </w:rPr>
        <w:t>进一步加强事件记录的深度分析，开展多维度、结构化的事件数据分析工作，为运维决策和业务支持提供有效数据支撑。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19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</w:rPr>
      </w:pPr>
      <w:r>
        <w:rPr>
          <w:rFonts w:hint="default"/>
        </w:rPr>
        <w:t>持续推进事件单分类模式优化，完善事件统计维度设计，提升事件数据统计的灵活性与分析粒度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78" w:name="_Toc8710"/>
      <w:r>
        <w:rPr>
          <w:rFonts w:hint="eastAsia"/>
          <w:lang w:val="en-US" w:eastAsia="zh-CN"/>
        </w:rPr>
        <w:t>问题管理情况总结</w:t>
      </w:r>
      <w:bookmarkEnd w:id="78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  <w:lang w:val="en-US" w:eastAsia="zh-CN"/>
        </w:rPr>
        <w:t>截止</w:t>
      </w:r>
      <w:r>
        <w:rPr>
          <w:rFonts w:hint="default"/>
        </w:rPr>
        <w:t>2025年</w:t>
      </w:r>
      <w:r>
        <w:rPr>
          <w:rFonts w:hint="eastAsia"/>
          <w:lang w:val="en-US" w:eastAsia="zh-CN"/>
        </w:rPr>
        <w:t>10</w:t>
      </w:r>
      <w:r>
        <w:rPr>
          <w:rFonts w:hint="default"/>
        </w:rPr>
        <w:t>月，问题管理工作达成预期目标，具体完成情况如下：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0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</w:rPr>
      </w:pPr>
      <w:r>
        <w:rPr>
          <w:rFonts w:hint="default"/>
        </w:rPr>
        <w:t>共处理问题16起，</w:t>
      </w:r>
      <w:r>
        <w:rPr>
          <w:rFonts w:hint="eastAsia"/>
          <w:lang w:val="en-US" w:eastAsia="zh-CN"/>
        </w:rPr>
        <w:t>所有问题均已解决</w:t>
      </w:r>
      <w:r>
        <w:rPr>
          <w:rFonts w:hint="default"/>
        </w:rPr>
        <w:t>，问题处理及时率达到100%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满足KPI要求的月度问题及时解决率</w:t>
      </w:r>
      <w:r>
        <w:rPr>
          <w:rFonts w:hint="default"/>
        </w:rPr>
        <w:t>≥90%</w:t>
      </w:r>
      <w:r>
        <w:rPr>
          <w:rFonts w:hint="eastAsia"/>
          <w:lang w:val="en-US" w:eastAsia="zh-CN"/>
        </w:rPr>
        <w:t>的指标</w:t>
      </w:r>
      <w:r>
        <w:rPr>
          <w:rFonts w:hint="default"/>
        </w:rPr>
        <w:t>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0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</w:rPr>
      </w:pPr>
      <w:r>
        <w:rPr>
          <w:rFonts w:hint="default"/>
        </w:rPr>
        <w:t>持续加强问题管理流程与事件管理、服务级别管理等流程的有效协同，通过机制化联动提升问题管理的整体价值与实效。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0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</w:rPr>
      </w:pPr>
      <w:r>
        <w:rPr>
          <w:rFonts w:hint="default"/>
        </w:rPr>
        <w:t>积极推进问题管理流程优化，针对各项目组在问题流程执行中存在的差异与瓶颈开展持续改进，完善闭环管理机制。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79" w:name="_Toc14162"/>
      <w:r>
        <w:rPr>
          <w:rFonts w:hint="eastAsia"/>
          <w:lang w:val="en-US" w:eastAsia="zh-CN"/>
        </w:rPr>
        <w:t>变更管理情况总结</w:t>
      </w:r>
      <w:bookmarkEnd w:id="79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  <w:lang w:val="en-US" w:eastAsia="zh-CN"/>
        </w:rPr>
        <w:t>截止</w:t>
      </w:r>
      <w:r>
        <w:rPr>
          <w:rFonts w:hint="default"/>
        </w:rPr>
        <w:t>2025年</w:t>
      </w:r>
      <w:r>
        <w:rPr>
          <w:rFonts w:hint="eastAsia"/>
          <w:lang w:val="en-US" w:eastAsia="zh-CN"/>
        </w:rPr>
        <w:t>10</w:t>
      </w:r>
      <w:r>
        <w:rPr>
          <w:rFonts w:hint="default"/>
        </w:rPr>
        <w:t>月，变更管理工作达成预期目标，具体完成情况如下：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1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</w:rPr>
      </w:pPr>
      <w:r>
        <w:rPr>
          <w:rFonts w:hint="eastAsia"/>
          <w:lang w:val="en-US" w:eastAsia="zh-CN"/>
        </w:rPr>
        <w:t>第一季度没有进行变更，第二季度</w:t>
      </w:r>
      <w:r>
        <w:rPr>
          <w:rFonts w:hint="default"/>
        </w:rPr>
        <w:t>共执行变更4次，其中配置变更2次，应用系统变更2次，</w:t>
      </w:r>
      <w:r>
        <w:rPr>
          <w:rFonts w:hint="eastAsia"/>
          <w:lang w:val="en-US" w:eastAsia="zh-CN"/>
        </w:rPr>
        <w:t>均变更成功，变更成功率为100%</w:t>
      </w:r>
      <w:r>
        <w:rPr>
          <w:rFonts w:hint="default"/>
        </w:rPr>
        <w:t>。</w:t>
      </w:r>
      <w:r>
        <w:rPr>
          <w:rFonts w:hint="eastAsia"/>
          <w:lang w:val="en-US" w:eastAsia="zh-CN"/>
        </w:rPr>
        <w:t>第三季度变更3次，变更成功率为100%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1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</w:rPr>
      </w:pPr>
      <w:r>
        <w:rPr>
          <w:rFonts w:hint="default"/>
        </w:rPr>
        <w:t>持续加强变更记录的完整性与规范性，重点强化对回退计划的质量监督与审核，确保各项变更均具备可行、可靠的恢复预案，有效规避因回退计划缺失或不足导致的运维风险。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80" w:name="_Toc26483"/>
      <w:r>
        <w:rPr>
          <w:rFonts w:hint="eastAsia"/>
          <w:lang w:val="en-US" w:eastAsia="zh-CN"/>
        </w:rPr>
        <w:t>发布管理情况总结</w:t>
      </w:r>
      <w:bookmarkEnd w:id="80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  <w:lang w:val="en-US" w:eastAsia="zh-CN"/>
        </w:rPr>
        <w:t>截止</w:t>
      </w:r>
      <w:r>
        <w:rPr>
          <w:rFonts w:hint="default"/>
        </w:rPr>
        <w:t>2025年</w:t>
      </w:r>
      <w:r>
        <w:rPr>
          <w:rFonts w:hint="eastAsia"/>
          <w:lang w:val="en-US" w:eastAsia="zh-CN"/>
        </w:rPr>
        <w:t>10月</w:t>
      </w:r>
      <w:r>
        <w:rPr>
          <w:rFonts w:hint="default"/>
        </w:rPr>
        <w:t>发布管理工作达成预期目标，具体完成情况如下：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</w:rPr>
      </w:pPr>
      <w:r>
        <w:rPr>
          <w:rFonts w:hint="eastAsia"/>
          <w:lang w:val="en-US" w:eastAsia="zh-CN"/>
        </w:rPr>
        <w:t>第一、二季度共</w:t>
      </w:r>
      <w:r>
        <w:rPr>
          <w:rFonts w:hint="default"/>
        </w:rPr>
        <w:t>实施4次软件版本升级发布，所有发布申请均通过审批并成功上线，发布成功率达100%，超过95%的指标体系要求，</w:t>
      </w:r>
      <w:r>
        <w:rPr>
          <w:rFonts w:hint="eastAsia"/>
          <w:lang w:val="en-US" w:eastAsia="zh-CN"/>
        </w:rPr>
        <w:t>随着系统上线第三季度进行了8次发布，均全部成功，发布成功率为100%。</w:t>
      </w:r>
      <w:r>
        <w:rPr>
          <w:rFonts w:hint="default"/>
        </w:rPr>
        <w:t>全面满足服务等级协议（SLA）相关标准。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81" w:name="_Toc5877"/>
      <w:r>
        <w:rPr>
          <w:rFonts w:hint="eastAsia"/>
          <w:lang w:val="en-US" w:eastAsia="zh-CN"/>
        </w:rPr>
        <w:t>配置管理情况总结</w:t>
      </w:r>
      <w:bookmarkEnd w:id="81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  <w:lang w:val="en-US" w:eastAsia="zh-CN"/>
        </w:rPr>
        <w:t>截止</w:t>
      </w:r>
      <w:r>
        <w:rPr>
          <w:rFonts w:hint="default"/>
        </w:rPr>
        <w:t>2025年</w:t>
      </w:r>
      <w:r>
        <w:rPr>
          <w:rFonts w:hint="eastAsia"/>
          <w:lang w:val="en-US" w:eastAsia="zh-CN"/>
        </w:rPr>
        <w:t>10</w:t>
      </w:r>
      <w:r>
        <w:rPr>
          <w:rFonts w:hint="default"/>
        </w:rPr>
        <w:t>月，配置管理工作按计划推进并达成预期目标，具体完成情况如下：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</w:rPr>
      </w:pPr>
      <w:r>
        <w:rPr>
          <w:rFonts w:hint="default"/>
        </w:rPr>
        <w:t>公司持续完善配置管理制度体系，相关要求全面落实执行。组织开展了配置数据专项审计，统计结果显示：</w:t>
      </w:r>
      <w:r>
        <w:rPr>
          <w:rFonts w:hint="eastAsia"/>
          <w:lang w:val="en-US" w:eastAsia="zh-CN"/>
        </w:rPr>
        <w:t>近半年</w:t>
      </w:r>
      <w:r>
        <w:rPr>
          <w:rFonts w:hint="default"/>
        </w:rPr>
        <w:t>各项目</w:t>
      </w:r>
      <w:r>
        <w:rPr>
          <w:rFonts w:hint="eastAsia"/>
          <w:lang w:val="en-US" w:eastAsia="zh-CN"/>
        </w:rPr>
        <w:t>配置管理准确率为100%，满足KPI指标要求</w:t>
      </w:r>
      <w:r>
        <w:rPr>
          <w:rFonts w:hint="default"/>
        </w:rPr>
        <w:t>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</w:rPr>
      </w:pPr>
      <w:r>
        <w:rPr>
          <w:rFonts w:hint="default"/>
        </w:rPr>
        <w:t>通过强化数据维护与审核机制，有效保障了配置库数据的准确性与可靠性，为运维服务提供坚实的数据基础。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82" w:name="_Toc22763"/>
      <w:r>
        <w:rPr>
          <w:rFonts w:hint="eastAsia"/>
          <w:lang w:val="en-US" w:eastAsia="zh-CN"/>
        </w:rPr>
        <w:t>服务可用性和连续性管理情况总结</w:t>
      </w:r>
      <w:bookmarkEnd w:id="82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  <w:lang w:val="en-US" w:eastAsia="zh-CN"/>
        </w:rPr>
        <w:t>截止</w:t>
      </w:r>
      <w:r>
        <w:rPr>
          <w:rFonts w:hint="default"/>
        </w:rPr>
        <w:t>2025年</w:t>
      </w:r>
      <w:r>
        <w:rPr>
          <w:rFonts w:hint="eastAsia"/>
          <w:lang w:val="en-US" w:eastAsia="zh-CN"/>
        </w:rPr>
        <w:t>10</w:t>
      </w:r>
      <w:r>
        <w:rPr>
          <w:rFonts w:hint="default"/>
        </w:rPr>
        <w:t>月，服务可用性与连续性管理持续强化，主要工作成果如下：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</w:rPr>
      </w:pPr>
      <w:r>
        <w:rPr>
          <w:rFonts w:hint="default"/>
        </w:rPr>
        <w:t>系统监控体系进一步完善，</w:t>
      </w:r>
      <w:r>
        <w:rPr>
          <w:rFonts w:hint="eastAsia"/>
          <w:lang w:val="en-US" w:eastAsia="zh-CN"/>
        </w:rPr>
        <w:t>服务</w:t>
      </w:r>
      <w:r>
        <w:rPr>
          <w:rFonts w:hint="default"/>
        </w:rPr>
        <w:t>可用率稳定在9</w:t>
      </w:r>
      <w:r>
        <w:rPr>
          <w:rFonts w:hint="eastAsia"/>
          <w:lang w:val="en-US" w:eastAsia="zh-CN"/>
        </w:rPr>
        <w:t>9</w:t>
      </w:r>
      <w:r>
        <w:rPr>
          <w:rFonts w:hint="default"/>
        </w:rPr>
        <w:t>%以上。平台故障反馈入口持续优化，确保用户能够快速、便捷地进行故障上报。7×24小时故障响应团队有效运转，保障了突发事件的及时响应与处置。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eastAsia="宋体" w:hint="default"/>
          <w:lang w:val="en-US" w:eastAsia="zh-CN"/>
        </w:rPr>
      </w:pPr>
      <w:r>
        <w:rPr>
          <w:rFonts w:hint="eastAsia"/>
          <w:lang w:val="en-US" w:eastAsia="zh-CN"/>
        </w:rPr>
        <w:t>通过使用监控工具，没有发生服务中断，系统运行稳定。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83" w:name="_Toc12546"/>
      <w:r>
        <w:rPr>
          <w:rFonts w:hint="eastAsia"/>
          <w:lang w:val="en-US" w:eastAsia="zh-CN"/>
        </w:rPr>
        <w:t>容量管理情况总结</w:t>
      </w:r>
      <w:bookmarkEnd w:id="83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  <w:lang w:val="en-US" w:eastAsia="zh-CN"/>
        </w:rPr>
        <w:t>截止</w:t>
      </w:r>
      <w:r>
        <w:rPr>
          <w:rFonts w:hint="default"/>
        </w:rPr>
        <w:t>2025年</w:t>
      </w:r>
      <w:r>
        <w:rPr>
          <w:rFonts w:hint="eastAsia"/>
          <w:lang w:val="en-US" w:eastAsia="zh-CN"/>
        </w:rPr>
        <w:t>10</w:t>
      </w:r>
      <w:r>
        <w:rPr>
          <w:rFonts w:hint="default"/>
        </w:rPr>
        <w:t>月，系统容量管理持续开展精细化运营，主要工作情况如下：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</w:rPr>
      </w:pPr>
      <w:r>
        <w:rPr>
          <w:rFonts w:hint="default"/>
        </w:rPr>
        <w:t>持续对潜在容量风险进行监控与分析，完善事件预案及处置流程记录机制。按计划组织召开容量分析会议，总结阶段性经验并优化管理策略与流程。</w:t>
      </w:r>
      <w:r>
        <w:rPr>
          <w:rFonts w:hint="eastAsia"/>
          <w:lang w:val="en-US" w:eastAsia="zh-CN"/>
        </w:rPr>
        <w:t>截止2025年10月，</w:t>
      </w:r>
      <w:r>
        <w:rPr>
          <w:rFonts w:hint="default"/>
        </w:rPr>
        <w:t>未发生因容量原因导致的事件。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84" w:name="_Toc24708"/>
      <w:r>
        <w:rPr>
          <w:rFonts w:hint="eastAsia"/>
          <w:lang w:val="en-US" w:eastAsia="zh-CN"/>
        </w:rPr>
        <w:t>信息安全管理总结</w:t>
      </w:r>
      <w:bookmarkEnd w:id="84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  <w:lang w:val="en-US" w:eastAsia="zh-CN"/>
        </w:rPr>
        <w:t>截止</w:t>
      </w:r>
      <w:r>
        <w:rPr>
          <w:rFonts w:hint="default"/>
        </w:rPr>
        <w:t>2025年</w:t>
      </w:r>
      <w:r>
        <w:rPr>
          <w:rFonts w:hint="eastAsia"/>
          <w:lang w:val="en-US" w:eastAsia="zh-CN"/>
        </w:rPr>
        <w:t>10</w:t>
      </w:r>
      <w:r>
        <w:rPr>
          <w:rFonts w:hint="default"/>
        </w:rPr>
        <w:t>月，信息安全管理工作有效推进，主要完成以下工作：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3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</w:rPr>
      </w:pPr>
      <w:r>
        <w:rPr>
          <w:rFonts w:hint="default"/>
        </w:rPr>
        <w:t>未发生客户信息泄露事件，未出现信息安全事故导致的客户投诉，各项指标符合运维服务能力管理要求</w:t>
      </w:r>
      <w:r>
        <w:rPr>
          <w:rFonts w:hint="eastAsia"/>
          <w:lang w:eastAsia="zh-CN"/>
        </w:rPr>
        <w:t>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3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</w:rPr>
      </w:pPr>
      <w:r>
        <w:rPr>
          <w:rFonts w:hint="default"/>
        </w:rPr>
        <w:t>系统推进信息安全防护工具使用培训，强化项目组成员实操能力与风险防控水平，从源头防范因技能不足引发的安全隐患；组织开展最新安全法规及管理制度专项培训，全面提升全员安全意识和合规操作能力。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85" w:name="_Toc13726"/>
      <w:r>
        <w:rPr>
          <w:rFonts w:hint="eastAsia"/>
          <w:lang w:val="en-US" w:eastAsia="zh-CN"/>
        </w:rPr>
        <w:t>交付管理情况总结</w:t>
      </w:r>
      <w:bookmarkEnd w:id="85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截止</w:t>
      </w:r>
      <w:r>
        <w:t>2025年</w:t>
      </w:r>
      <w:r>
        <w:rPr>
          <w:rFonts w:hint="eastAsia"/>
          <w:lang w:val="en-US" w:eastAsia="zh-CN"/>
        </w:rPr>
        <w:t>10</w:t>
      </w:r>
      <w:r>
        <w:t>月，公司持续推进服务交付管理制度的优化与实施工作。依据既定交付管理制度及SLA要求，结合客户需求分析，制定了相应的交付方案并严格按方案执行，确保各项交付记录按时完成。统计显示，</w:t>
      </w:r>
      <w:r>
        <w:rPr>
          <w:rFonts w:hint="eastAsia"/>
          <w:lang w:val="en-US" w:eastAsia="zh-CN"/>
        </w:rPr>
        <w:t>所有项目的服务报告均按时提交，及时率达到100%，满足KPI</w:t>
      </w:r>
      <w:r>
        <w:t>要求。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86" w:name="_Toc10917"/>
      <w:r>
        <w:rPr>
          <w:rFonts w:hint="eastAsia"/>
          <w:lang w:val="en-US" w:eastAsia="zh-CN"/>
        </w:rPr>
        <w:t>应急管理情况总结</w:t>
      </w:r>
      <w:bookmarkEnd w:id="86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eastAsia="宋体" w:hint="default"/>
          <w:lang w:val="en-US" w:eastAsia="zh-CN"/>
        </w:rPr>
      </w:pPr>
      <w:r>
        <w:rPr>
          <w:rFonts w:hint="eastAsia"/>
          <w:lang w:val="en-US" w:eastAsia="zh-CN"/>
        </w:rPr>
        <w:t>截止</w:t>
      </w:r>
      <w:r>
        <w:t>2025年</w:t>
      </w:r>
      <w:r>
        <w:rPr>
          <w:rFonts w:hint="eastAsia"/>
          <w:lang w:val="en-US" w:eastAsia="zh-CN"/>
        </w:rPr>
        <w:t>10</w:t>
      </w:r>
      <w:r>
        <w:t>月，公司持续完善应急响应管理体系，严格依据《</w:t>
      </w:r>
      <w:r>
        <w:rPr>
          <w:rFonts w:hint="eastAsia"/>
          <w:lang w:val="en-US" w:eastAsia="zh-CN"/>
        </w:rPr>
        <w:t>组织级</w:t>
      </w:r>
      <w:r>
        <w:t>应急管理制度》及《运维服务能力管理</w:t>
      </w:r>
      <w:r>
        <w:rPr>
          <w:rFonts w:hint="eastAsia"/>
          <w:lang w:val="en-US" w:eastAsia="zh-CN"/>
        </w:rPr>
        <w:t>计划</w:t>
      </w:r>
      <w:r>
        <w:t>》开展各项工作。有效落实应急响应机制，健全应急响应组织，优化应急预案内容，并针对各运维项目制定了相应的应急管理</w:t>
      </w:r>
      <w:r>
        <w:rPr>
          <w:rFonts w:hint="eastAsia"/>
          <w:lang w:val="en-US" w:eastAsia="zh-CN"/>
        </w:rPr>
        <w:t>制度</w:t>
      </w:r>
      <w:r>
        <w:t>。组织完成专项应急演练，应急预案覆盖率和及时响应率均达到既定目标要求。</w:t>
      </w:r>
      <w:r>
        <w:rPr>
          <w:rFonts w:hint="eastAsia"/>
          <w:lang w:val="en-US" w:eastAsia="zh-CN"/>
        </w:rPr>
        <w:t>满足每年至少进行1次应急演练的要求。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87" w:name="_Toc20732"/>
      <w:r>
        <w:rPr>
          <w:rFonts w:hint="eastAsia"/>
          <w:lang w:val="en-US" w:eastAsia="zh-CN"/>
        </w:rPr>
        <w:t>质量管理总结</w:t>
      </w:r>
      <w:bookmarkEnd w:id="87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88" w:name="_Toc26204"/>
      <w:r>
        <w:rPr>
          <w:rFonts w:hint="eastAsia"/>
          <w:lang w:val="en-US" w:eastAsia="zh-CN"/>
        </w:rPr>
        <w:t>运维服务质量内部审核情况总结</w:t>
      </w:r>
      <w:bookmarkEnd w:id="88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在2025年10月进行了一次内部审核，发现了一个不符合项，为一般不符合，已经由相关人员进行改正，质量部进行确认。所有运维相关部门均参与内审，内审覆盖率为100%。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89" w:name="_Toc767"/>
      <w:r>
        <w:rPr>
          <w:rFonts w:hint="eastAsia"/>
          <w:lang w:val="en-US" w:eastAsia="zh-CN"/>
        </w:rPr>
        <w:t>运维服务质量管理评审情况总结</w:t>
      </w:r>
      <w:bookmarkEnd w:id="89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t>于202</w:t>
      </w:r>
      <w:r>
        <w:rPr>
          <w:rFonts w:hint="eastAsia"/>
          <w:lang w:val="en-US" w:eastAsia="zh-CN"/>
        </w:rPr>
        <w:t>5</w:t>
      </w:r>
      <w:r>
        <w:t>年</w:t>
      </w:r>
      <w:r>
        <w:rPr>
          <w:rFonts w:hint="eastAsia"/>
          <w:lang w:val="en-US" w:eastAsia="zh-CN"/>
        </w:rPr>
        <w:t>10</w:t>
      </w:r>
      <w:r>
        <w:t>月</w:t>
      </w:r>
      <w:r>
        <w:rPr>
          <w:rFonts w:hint="eastAsia"/>
          <w:lang w:val="en-US" w:eastAsia="zh-CN"/>
        </w:rPr>
        <w:t>20日</w:t>
      </w:r>
      <w:r>
        <w:t>进行</w:t>
      </w:r>
      <w:r>
        <w:rPr>
          <w:rFonts w:hint="eastAsia"/>
          <w:lang w:val="en-US" w:eastAsia="zh-CN"/>
        </w:rPr>
        <w:t>管评工作。</w:t>
      </w:r>
      <w:r>
        <w:t>全面的总结了公司运维能力体系的运行情况，肯定了2025年质量管理体系运行的适宜性、有效性。通过这次管理评审，总结了经验，将更有力的推动公司持续发展。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90" w:name="_Toc29954"/>
      <w:r>
        <w:rPr>
          <w:rFonts w:hint="eastAsia"/>
          <w:lang w:val="en-US" w:eastAsia="zh-CN"/>
        </w:rPr>
        <w:t>客户满意度调查及分析情况总结</w:t>
      </w:r>
      <w:bookmarkEnd w:id="90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t>对已统计的用户满意度调查问卷结果进行分析，</w:t>
      </w:r>
      <w:r>
        <w:rPr>
          <w:rFonts w:hint="eastAsia"/>
          <w:lang w:val="en-US" w:eastAsia="zh-CN"/>
        </w:rPr>
        <w:t>截至</w:t>
      </w:r>
      <w:r>
        <w:t>202</w:t>
      </w:r>
      <w:r>
        <w:rPr>
          <w:rFonts w:hint="eastAsia"/>
          <w:lang w:val="en-US" w:eastAsia="zh-CN"/>
        </w:rPr>
        <w:t>5</w:t>
      </w:r>
      <w:r>
        <w:t>年</w:t>
      </w:r>
      <w:r>
        <w:rPr>
          <w:rFonts w:hint="eastAsia"/>
          <w:lang w:val="en-US" w:eastAsia="zh-CN"/>
        </w:rPr>
        <w:t>10月</w:t>
      </w:r>
      <w:r>
        <w:t>运维服务业务总体的客户满意度平均分为</w:t>
      </w:r>
      <w:r>
        <w:rPr>
          <w:rFonts w:hint="eastAsia"/>
          <w:lang w:val="en-US" w:eastAsia="zh-CN"/>
        </w:rPr>
        <w:t>95</w:t>
      </w:r>
      <w:r>
        <w:t>分，通过调查分数以及客户提出的改进意见，质量部</w:t>
      </w:r>
      <w:r>
        <w:t>发现运维服务过程中有提高的空间。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91" w:name="_Toc27816"/>
      <w:r>
        <w:rPr>
          <w:rFonts w:hint="eastAsia"/>
          <w:lang w:val="en-US" w:eastAsia="zh-CN"/>
        </w:rPr>
        <w:t>SLA达成率情况分析</w:t>
      </w:r>
      <w:bookmarkEnd w:id="91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据统计，所有项目的SLA达成率均为100%，满足年度SLA达成率≥95%的KPI要求。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92" w:name="_Toc27734"/>
      <w:r>
        <w:rPr>
          <w:rFonts w:hint="eastAsia"/>
          <w:lang w:val="en-US" w:eastAsia="zh-CN"/>
        </w:rPr>
        <w:t>服务能力改进情况总结</w:t>
      </w:r>
      <w:bookmarkEnd w:id="92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针对内部审核发现的不符合项，有计划性的进行培训。针对客户提出的改进意见积极归纳总结。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针对最终软件库不满足KPI指标情况及时进行培训，质量部加强监督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针对用户满意度调查中发现的问题：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24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eastAsia"/>
        </w:rPr>
      </w:pPr>
      <w:r>
        <w:rPr>
          <w:rFonts w:hint="eastAsia"/>
        </w:rPr>
        <w:t>运维人员在定期巡检的服务互动性</w:t>
      </w:r>
      <w:r>
        <w:t>上有所欠缺</w:t>
      </w:r>
      <w:r>
        <w:rPr>
          <w:rFonts w:hint="eastAsia"/>
        </w:rPr>
        <w:t>；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24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eastAsia"/>
        </w:rPr>
      </w:pPr>
      <w:r>
        <w:rPr>
          <w:rFonts w:hint="eastAsia"/>
        </w:rPr>
        <w:t>运维服务过程针对培训效果的评估有待改进。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采取以下措施：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25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eastAsia"/>
        </w:rPr>
      </w:pPr>
      <w:r>
        <w:rPr>
          <w:rFonts w:hint="eastAsia"/>
        </w:rPr>
        <w:t>加强对运维服务专业人员专业知识的培训，强化定期巡检意识；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25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rPr>
          <w:rFonts w:hint="eastAsia"/>
        </w:rPr>
        <w:t>针对运维服务过程发起的培训工作，加强培训效果评价工作。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Style w:val="1Char"/>
          <w:rFonts w:eastAsia="宋体" w:hint="default"/>
          <w:lang w:val="en-US" w:eastAsia="zh-CN"/>
        </w:rPr>
      </w:pPr>
      <w:bookmarkStart w:id="93" w:name="bookmark3"/>
      <w:bookmarkEnd w:id="93"/>
      <w:bookmarkStart w:id="94" w:name="_Toc17424"/>
      <w:bookmarkStart w:id="95" w:name="_Toc2653"/>
      <w:r>
        <w:rPr>
          <w:rStyle w:val="1Char"/>
          <w:rFonts w:eastAsia="宋体" w:hint="eastAsia"/>
          <w:lang w:val="en-US" w:eastAsia="zh-CN"/>
        </w:rPr>
        <w:t>附则</w:t>
      </w:r>
      <w:bookmarkEnd w:id="94"/>
      <w:bookmarkEnd w:id="95"/>
    </w:p>
    <w:p>
      <w:pPr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Chars="0"/>
        <w:textAlignment w:val="baseline"/>
        <w:rPr>
          <w:rFonts w:hint="eastAsia"/>
          <w:lang w:val="en-US" w:eastAsia="zh-CN"/>
        </w:rPr>
      </w:pPr>
      <w:r>
        <w:rPr>
          <w:rFonts w:ascii="宋体" w:eastAsia="宋体" w:hAnsi="宋体" w:cs="宋体"/>
          <w:spacing w:val="-1"/>
          <w:sz w:val="24"/>
          <w:szCs w:val="24"/>
        </w:rPr>
        <w:t>本</w:t>
      </w:r>
      <w:r>
        <w:rPr>
          <w:rFonts w:ascii="宋体" w:hAnsi="宋体" w:cs="宋体" w:hint="eastAsia"/>
          <w:spacing w:val="-1"/>
          <w:sz w:val="24"/>
          <w:szCs w:val="24"/>
          <w:lang w:val="en-US" w:eastAsia="zh-CN"/>
        </w:rPr>
        <w:t>报告</w:t>
      </w:r>
      <w:r>
        <w:rPr>
          <w:rFonts w:ascii="宋体" w:eastAsia="宋体" w:hAnsi="宋体" w:cs="宋体"/>
          <w:spacing w:val="-1"/>
          <w:sz w:val="24"/>
          <w:szCs w:val="24"/>
        </w:rPr>
        <w:t>最终解释权和修订权归</w:t>
      </w:r>
      <w:r>
        <w:rPr>
          <w:rFonts w:ascii="宋体" w:eastAsia="宋体" w:hAnsi="宋体" w:cs="宋体" w:hint="eastAsia"/>
          <w:spacing w:val="-1"/>
          <w:sz w:val="24"/>
          <w:szCs w:val="24"/>
          <w:lang w:val="en-US" w:eastAsia="zh-CN"/>
        </w:rPr>
        <w:t>质量部</w:t>
      </w:r>
      <w:r>
        <w:rPr>
          <w:rFonts w:ascii="宋体" w:eastAsia="宋体" w:hAnsi="宋体" w:cs="宋体"/>
          <w:spacing w:val="-1"/>
          <w:sz w:val="24"/>
          <w:szCs w:val="24"/>
        </w:rPr>
        <w:t>。</w:t>
      </w:r>
      <w:bookmarkStart w:id="96" w:name="bookmark14"/>
      <w:bookmarkEnd w:id="96"/>
    </w:p>
    <w:sectPr>
      <w:headerReference w:type="default" r:id="rId20"/>
      <w:pgSz w:w="11906" w:h="16838"/>
      <w:pgMar w:top="1417" w:right="1800" w:bottom="1440" w:left="1800" w:header="1140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  <w:pBdr>
        <w:bottom w:val="single" w:sz="4" w:space="1" w:color="auto"/>
      </w:pBdr>
      <w:jc w:val="right"/>
      <w:rPr>
        <w:rFonts w:eastAsiaTheme="minorEastAsia" w:hint="eastAsia"/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4F9F783"/>
    <w:multiLevelType w:val="singleLevel"/>
    <w:tmpl w:val="84F9F783"/>
    <w:lvl w:ilvl="0">
      <w:start w:val="1"/>
      <w:numFmt w:val="decimal"/>
      <w:suff w:val="space"/>
      <w:lvlText w:val="%1."/>
      <w:lvlJc w:val="left"/>
    </w:lvl>
  </w:abstractNum>
  <w:abstractNum w:abstractNumId="1">
    <w:nsid w:val="87E7EBE7"/>
    <w:multiLevelType w:val="singleLevel"/>
    <w:tmpl w:val="87E7EBE7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3">
    <w:nsid w:val="9032951E"/>
    <w:multiLevelType w:val="singleLevel"/>
    <w:tmpl w:val="9032951E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993C05C7"/>
    <w:multiLevelType w:val="singleLevel"/>
    <w:tmpl w:val="993C05C7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B045D1CB"/>
    <w:multiLevelType w:val="singleLevel"/>
    <w:tmpl w:val="B045D1CB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B6C4A339"/>
    <w:multiLevelType w:val="singleLevel"/>
    <w:tmpl w:val="B6C4A339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B7628C6B"/>
    <w:multiLevelType w:val="singleLevel"/>
    <w:tmpl w:val="B7628C6B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BE305858"/>
    <w:multiLevelType w:val="singleLevel"/>
    <w:tmpl w:val="BE305858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9">
    <w:nsid w:val="C759F1A5"/>
    <w:multiLevelType w:val="singleLevel"/>
    <w:tmpl w:val="C759F1A5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0">
    <w:nsid w:val="DC8D00BB"/>
    <w:multiLevelType w:val="singleLevel"/>
    <w:tmpl w:val="DC8D00BB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1">
    <w:nsid w:val="EF2A17AD"/>
    <w:multiLevelType w:val="singleLevel"/>
    <w:tmpl w:val="EF2A17AD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2">
    <w:nsid w:val="0417E7D9"/>
    <w:multiLevelType w:val="singleLevel"/>
    <w:tmpl w:val="0417E7D9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3">
    <w:nsid w:val="0FB92D63"/>
    <w:multiLevelType w:val="singleLevel"/>
    <w:tmpl w:val="0FB92D63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4">
    <w:nsid w:val="230144B1"/>
    <w:multiLevelType w:val="singleLevel"/>
    <w:tmpl w:val="230144B1"/>
    <w:lvl w:ilvl="0">
      <w:start w:val="1"/>
      <w:numFmt w:val="decimal"/>
      <w:suff w:val="space"/>
      <w:lvlText w:val="%1."/>
      <w:lvlJc w:val="left"/>
    </w:lvl>
  </w:abstractNum>
  <w:abstractNum w:abstractNumId="15">
    <w:nsid w:val="2A58BF86"/>
    <w:multiLevelType w:val="singleLevel"/>
    <w:tmpl w:val="2A58BF86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6">
    <w:nsid w:val="327173FB"/>
    <w:multiLevelType w:val="singleLevel"/>
    <w:tmpl w:val="327173FB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7">
    <w:nsid w:val="3667DD03"/>
    <w:multiLevelType w:val="singleLevel"/>
    <w:tmpl w:val="3667DD03"/>
    <w:lvl w:ilvl="0">
      <w:start w:val="1"/>
      <w:numFmt w:val="decimal"/>
      <w:suff w:val="space"/>
      <w:lvlText w:val="%1."/>
      <w:lvlJc w:val="left"/>
    </w:lvl>
  </w:abstractNum>
  <w:abstractNum w:abstractNumId="18">
    <w:nsid w:val="4199DF76"/>
    <w:multiLevelType w:val="singleLevel"/>
    <w:tmpl w:val="4199DF76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9">
    <w:nsid w:val="4EF89E65"/>
    <w:multiLevelType w:val="singleLevel"/>
    <w:tmpl w:val="4EF89E65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0">
    <w:nsid w:val="562F5956"/>
    <w:multiLevelType w:val="singleLevel"/>
    <w:tmpl w:val="562F5956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1">
    <w:nsid w:val="75730328"/>
    <w:multiLevelType w:val="multilevel"/>
    <w:tmpl w:val="75730328"/>
    <w:lvl w:ilvl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  <w:lvl w:ilvl="1">
      <w:start w:val="1"/>
      <w:numFmt w:val="decimalEnclosedCircleChinese"/>
      <w:lvlText w:val="%2"/>
      <w:lvlJc w:val="left"/>
      <w:pPr>
        <w:tabs>
          <w:tab w:val="left" w:pos="1260"/>
        </w:tabs>
        <w:ind w:left="1260" w:hanging="420" w:leftChars="0" w:firstLineChars="0"/>
      </w:pPr>
      <w:rPr>
        <w:rFonts w:hint="default"/>
      </w:rPr>
    </w:lvl>
    <w:lvl w:ilvl="2">
      <w:start w:val="1"/>
      <w:numFmt w:val="decimal"/>
      <w:lvlText w:val="%3)"/>
      <w:lvlJc w:val="left"/>
      <w:pPr>
        <w:tabs>
          <w:tab w:val="left" w:pos="1680"/>
        </w:tabs>
        <w:ind w:left="1680" w:hanging="420" w:leftChars="0" w:firstLineChars="0"/>
      </w:pPr>
      <w:rPr>
        <w:rFonts w:hint="default"/>
      </w:rPr>
    </w:lvl>
    <w:lvl w:ilvl="3">
      <w:start w:val="1"/>
      <w:numFmt w:val="lowerLetter"/>
      <w:lvlText w:val="%4."/>
      <w:lvlJc w:val="left"/>
      <w:pPr>
        <w:tabs>
          <w:tab w:val="left" w:pos="2100"/>
        </w:tabs>
        <w:ind w:left="2100" w:hanging="420" w:leftChars="0" w:firstLineChars="0"/>
      </w:pPr>
      <w:rPr>
        <w:rFonts w:hint="default"/>
      </w:rPr>
    </w:lvl>
    <w:lvl w:ilvl="4">
      <w:start w:val="1"/>
      <w:numFmt w:val="lowerLetter"/>
      <w:lvlText w:val="%5)"/>
      <w:lvlJc w:val="left"/>
      <w:pPr>
        <w:tabs>
          <w:tab w:val="left" w:pos="2520"/>
        </w:tabs>
        <w:ind w:left="2520" w:hanging="420" w:leftChars="0" w:firstLineChars="0"/>
      </w:pPr>
      <w:rPr>
        <w:rFonts w:hint="default"/>
      </w:rPr>
    </w:lvl>
    <w:lvl w:ilvl="5">
      <w:start w:val="1"/>
      <w:numFmt w:val="lowerRoman"/>
      <w:lvlText w:val="%6."/>
      <w:lvlJc w:val="left"/>
      <w:pPr>
        <w:tabs>
          <w:tab w:val="left" w:pos="2940"/>
        </w:tabs>
        <w:ind w:left="2940" w:hanging="420" w:leftChars="0" w:firstLineChars="0"/>
      </w:pPr>
      <w:rPr>
        <w:rFonts w:hint="default"/>
      </w:rPr>
    </w:lvl>
    <w:lvl w:ilvl="6">
      <w:start w:val="1"/>
      <w:numFmt w:val="lowerRoman"/>
      <w:lvlText w:val="%7)"/>
      <w:lvlJc w:val="left"/>
      <w:pPr>
        <w:tabs>
          <w:tab w:val="left" w:pos="3360"/>
        </w:tabs>
        <w:ind w:left="3360" w:hanging="420" w:leftChars="0" w:firstLineChars="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left" w:pos="3780"/>
        </w:tabs>
        <w:ind w:left="3780" w:hanging="420" w:leftChars="0" w:firstLineChars="0"/>
      </w:pPr>
      <w:rPr>
        <w:rFonts w:hint="default"/>
      </w:rPr>
    </w:lvl>
    <w:lvl w:ilvl="8">
      <w:start w:val="1"/>
      <w:numFmt w:val="lowerLetter"/>
      <w:lvlText w:val="%9)"/>
      <w:lvlJc w:val="left"/>
      <w:pPr>
        <w:tabs>
          <w:tab w:val="left" w:pos="4200"/>
        </w:tabs>
        <w:ind w:left="4200" w:hanging="420" w:leftChars="0" w:firstLineChars="0"/>
      </w:pPr>
      <w:rPr>
        <w:rFonts w:hint="default"/>
      </w:rPr>
    </w:lvl>
  </w:abstractNum>
  <w:abstractNum w:abstractNumId="22">
    <w:nsid w:val="77E59E5B"/>
    <w:multiLevelType w:val="singleLevel"/>
    <w:tmpl w:val="77E59E5B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3">
    <w:nsid w:val="7C911AA6"/>
    <w:multiLevelType w:val="singleLevel"/>
    <w:tmpl w:val="7C911AA6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4">
    <w:nsid w:val="7CB0EA2D"/>
    <w:multiLevelType w:val="singleLevel"/>
    <w:tmpl w:val="7CB0EA2D"/>
    <w:lvl w:ilvl="0">
      <w:start w:val="1"/>
      <w:numFmt w:val="decimal"/>
      <w:suff w:val="space"/>
      <w:lvlText w:val="%1."/>
      <w:lvlJc w:val="left"/>
    </w:lvl>
  </w:abstractNum>
  <w:num w:numId="1">
    <w:abstractNumId w:val="2"/>
  </w:num>
  <w:num w:numId="2">
    <w:abstractNumId w:val="10"/>
  </w:num>
  <w:num w:numId="3">
    <w:abstractNumId w:val="8"/>
  </w:num>
  <w:num w:numId="4">
    <w:abstractNumId w:val="5"/>
  </w:num>
  <w:num w:numId="5">
    <w:abstractNumId w:val="11"/>
  </w:num>
  <w:num w:numId="6">
    <w:abstractNumId w:val="21"/>
  </w:num>
  <w:num w:numId="7">
    <w:abstractNumId w:val="3"/>
  </w:num>
  <w:num w:numId="8">
    <w:abstractNumId w:val="16"/>
  </w:num>
  <w:num w:numId="9">
    <w:abstractNumId w:val="22"/>
  </w:num>
  <w:num w:numId="10">
    <w:abstractNumId w:val="17"/>
  </w:num>
  <w:num w:numId="11">
    <w:abstractNumId w:val="14"/>
  </w:num>
  <w:num w:numId="12">
    <w:abstractNumId w:val="0"/>
  </w:num>
  <w:num w:numId="13">
    <w:abstractNumId w:val="18"/>
  </w:num>
  <w:num w:numId="14">
    <w:abstractNumId w:val="13"/>
  </w:num>
  <w:num w:numId="15">
    <w:abstractNumId w:val="24"/>
  </w:num>
  <w:num w:numId="16">
    <w:abstractNumId w:val="7"/>
  </w:num>
  <w:num w:numId="17">
    <w:abstractNumId w:val="19"/>
  </w:num>
  <w:num w:numId="18">
    <w:abstractNumId w:val="23"/>
  </w:num>
  <w:num w:numId="19">
    <w:abstractNumId w:val="9"/>
  </w:num>
  <w:num w:numId="20">
    <w:abstractNumId w:val="6"/>
  </w:num>
  <w:num w:numId="21">
    <w:abstractNumId w:val="4"/>
  </w:num>
  <w:num w:numId="22">
    <w:abstractNumId w:val="20"/>
  </w:num>
  <w:num w:numId="23">
    <w:abstractNumId w:val="1"/>
  </w:num>
  <w:num w:numId="24">
    <w:abstractNumId w:val="12"/>
  </w:num>
  <w:num w:numId="2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3">
    <w:name w:val="柴_正文_无缩进"/>
    <w:basedOn w:val="Normal"/>
    <w:link w:val="Char0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  <w:style w:type="character" w:customStyle="1" w:styleId="Char0">
    <w:name w:val="柴_正文_无缩进 Char"/>
    <w:link w:val="a3"/>
    <w:qFormat/>
    <w:rPr>
      <w:rFonts w:ascii="Arial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image" Target="media/image7.png" /><Relationship Id="rId11" Type="http://schemas.openxmlformats.org/officeDocument/2006/relationships/image" Target="media/image8.png" /><Relationship Id="rId12" Type="http://schemas.openxmlformats.org/officeDocument/2006/relationships/image" Target="media/image9.png" /><Relationship Id="rId13" Type="http://schemas.openxmlformats.org/officeDocument/2006/relationships/image" Target="media/image10.png" /><Relationship Id="rId14" Type="http://schemas.openxmlformats.org/officeDocument/2006/relationships/image" Target="media/image11.png" /><Relationship Id="rId15" Type="http://schemas.openxmlformats.org/officeDocument/2006/relationships/image" Target="media/image12.png" /><Relationship Id="rId16" Type="http://schemas.openxmlformats.org/officeDocument/2006/relationships/image" Target="media/image13.png" /><Relationship Id="rId17" Type="http://schemas.openxmlformats.org/officeDocument/2006/relationships/image" Target="media/image14.png" /><Relationship Id="rId18" Type="http://schemas.openxmlformats.org/officeDocument/2006/relationships/image" Target="media/image15.png" /><Relationship Id="rId19" Type="http://schemas.openxmlformats.org/officeDocument/2006/relationships/image" Target="media/image16.png" /><Relationship Id="rId2" Type="http://schemas.openxmlformats.org/officeDocument/2006/relationships/webSettings" Target="webSettings.xml" /><Relationship Id="rId20" Type="http://schemas.openxmlformats.org/officeDocument/2006/relationships/header" Target="header1.xml" /><Relationship Id="rId21" Type="http://schemas.openxmlformats.org/officeDocument/2006/relationships/theme" Target="theme/theme1.xml" /><Relationship Id="rId22" Type="http://schemas.openxmlformats.org/officeDocument/2006/relationships/numbering" Target="numbering.xml" /><Relationship Id="rId23" Type="http://schemas.openxmlformats.org/officeDocument/2006/relationships/styles" Target="style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image" Target="media/image2.png" /><Relationship Id="rId6" Type="http://schemas.openxmlformats.org/officeDocument/2006/relationships/image" Target="media/image3.png" /><Relationship Id="rId7" Type="http://schemas.openxmlformats.org/officeDocument/2006/relationships/image" Target="media/image4.png" /><Relationship Id="rId8" Type="http://schemas.openxmlformats.org/officeDocument/2006/relationships/image" Target="media/image5.png" /><Relationship Id="rId9" Type="http://schemas.openxmlformats.org/officeDocument/2006/relationships/image" Target="media/image6.png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30</Pages>
  <Words>10267</Words>
  <Characters>11353</Characters>
  <Application>Microsoft Office Word</Application>
  <DocSecurity>0</DocSecurity>
  <Lines>0</Lines>
  <Paragraphs>0</Paragraphs>
  <ScaleCrop>false</ScaleCrop>
  <Company/>
  <LinksUpToDate>false</LinksUpToDate>
  <CharactersWithSpaces>11899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郝宇</cp:lastModifiedBy>
  <cp:revision>1</cp:revision>
  <dcterms:created xsi:type="dcterms:W3CDTF">2025-09-03T14:43:00Z</dcterms:created>
  <dcterms:modified xsi:type="dcterms:W3CDTF">2025-12-26T08:10:45Z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B37FE4BF1B7D48229AAEA75AF5C0A59B_13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