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bookmarkStart w:id="0" w:name="_Toc18052"/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30480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天津市华夏电缆有限公司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运维服务能力指标体系跟踪表</w:t>
      </w:r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  <w:bookmarkStart w:id="1" w:name="_Toc6909"/>
      <w:r>
        <w:rPr>
          <w:rFonts w:hint="eastAsia"/>
          <w:lang w:val="en-US" w:eastAsia="zh-CN"/>
        </w:rPr>
        <w:t>（HXDL-ITSS-0305）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right="0" w:firstLine="0" w:leftChars="0" w:rightChars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刘鑫楠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181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2025.70.30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181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2025.70.30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eastAsia="宋体" w:hAnsi="宋体" w:cs="宋体"/>
          <w:sz w:val="30"/>
          <w:szCs w:val="30"/>
        </w:rPr>
      </w:pPr>
      <w:bookmarkStart w:id="2" w:name="_Toc5372"/>
      <w:r>
        <w:rPr>
          <w:rFonts w:ascii="宋体" w:eastAsia="宋体" w:hAnsi="宋体" w:cs="宋体"/>
          <w:b/>
          <w:bCs/>
          <w:spacing w:val="-4"/>
          <w:sz w:val="30"/>
          <w:szCs w:val="30"/>
        </w:rPr>
        <w:t>文件编制和变更履历</w:t>
      </w:r>
      <w:bookmarkEnd w:id="2"/>
    </w:p>
    <w:tbl>
      <w:tblPr>
        <w:tblStyle w:val="TableNormal0"/>
        <w:tblW w:w="9005" w:type="dxa"/>
        <w:tblInd w:w="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28"/>
        <w:gridCol w:w="1226"/>
      </w:tblGrid>
      <w:tr>
        <w:tblPrEx>
          <w:tblW w:w="9005" w:type="dxa"/>
          <w:tblInd w:w="34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4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226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28" w:type="dxa"/>
            <w:shd w:val="clear" w:color="auto" w:fill="D9D9D9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226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rFonts w:hint="eastAsia"/>
                <w:spacing w:val="-4"/>
              </w:rPr>
              <w:t>刘鑫楠</w:t>
            </w:r>
          </w:p>
        </w:tc>
        <w:tc>
          <w:tcPr>
            <w:tcW w:w="12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9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0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陈垒</w:t>
            </w:r>
          </w:p>
        </w:tc>
        <w:tc>
          <w:tcPr>
            <w:tcW w:w="142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</w:pPr>
            <w:r>
              <w:rPr>
                <w:spacing w:val="-1"/>
              </w:rPr>
              <w:t>2025.7</w:t>
            </w:r>
            <w:r>
              <w:rPr>
                <w:rFonts w:hint="eastAsia"/>
                <w:spacing w:val="-1"/>
                <w:lang w:val="en-US" w:eastAsia="zh-CN"/>
              </w:rPr>
              <w:t>0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30</w:t>
            </w:r>
          </w:p>
        </w:tc>
        <w:tc>
          <w:tcPr>
            <w:tcW w:w="1226" w:type="dxa"/>
            <w:tcBorders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42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226" w:type="dxa"/>
            <w:tcBorders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>
        <w:tblPrEx>
          <w:tblW w:w="9005" w:type="dxa"/>
          <w:tblInd w:w="34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428" w:type="dxa"/>
            <w:tcBorders>
              <w:bottom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226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>
      <w:pPr>
        <w:sectPr>
          <w:headerReference w:type="default" r:id="rId5"/>
          <w:pgSz w:w="11906" w:h="16838"/>
          <w:pgMar w:top="1417" w:right="1800" w:bottom="1440" w:left="1800" w:header="1140" w:footer="992" w:gutter="0"/>
          <w:cols w:num="1" w:space="425"/>
          <w:docGrid w:type="lines" w:linePitch="312" w:charSpace="0"/>
        </w:sectPr>
      </w:pPr>
    </w:p>
    <w:p/>
    <w:p>
      <w:pPr>
        <w:pStyle w:val="a1"/>
        <w:bidi w:val="0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运维服务体系跟踪表</w:t>
      </w:r>
    </w:p>
    <w:tbl>
      <w:tblPr>
        <w:tblStyle w:val="TableNormal1"/>
        <w:tblW w:w="13962" w:type="dxa"/>
        <w:tblInd w:w="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4"/>
        <w:gridCol w:w="583"/>
        <w:gridCol w:w="1929"/>
        <w:gridCol w:w="875"/>
        <w:gridCol w:w="767"/>
        <w:gridCol w:w="931"/>
        <w:gridCol w:w="931"/>
        <w:gridCol w:w="931"/>
        <w:gridCol w:w="931"/>
        <w:gridCol w:w="931"/>
        <w:gridCol w:w="931"/>
        <w:gridCol w:w="931"/>
        <w:gridCol w:w="931"/>
        <w:gridCol w:w="931"/>
        <w:gridCol w:w="935"/>
      </w:tblGrid>
      <w:tr>
        <w:tblPrEx>
          <w:tblW w:w="13962" w:type="dxa"/>
          <w:tblInd w:w="3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/>
        </w:trPr>
        <w:tc>
          <w:tcPr>
            <w:tcW w:w="494" w:type="dxa"/>
            <w:vMerge w:val="restart"/>
            <w:shd w:val="clear" w:color="auto" w:fill="C0C0C0"/>
            <w:textDirection w:val="tbRlV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83" w:type="dxa"/>
            <w:vMerge w:val="restart"/>
            <w:tcBorders>
              <w:top w:val="single" w:sz="2" w:space="0" w:color="C0C0C0"/>
            </w:tcBorders>
            <w:shd w:val="clear" w:color="auto" w:fill="C0C0C0"/>
            <w:textDirection w:val="tbRlV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>指标</w:t>
            </w:r>
          </w:p>
        </w:tc>
        <w:tc>
          <w:tcPr>
            <w:tcW w:w="1929" w:type="dxa"/>
            <w:vMerge w:val="restart"/>
            <w:tcBorders>
              <w:top w:val="single" w:sz="2" w:space="0" w:color="C0C0C0"/>
            </w:tcBorders>
            <w:shd w:val="clear" w:color="auto" w:fill="C0C0C0"/>
          </w:tcPr>
          <w:p>
            <w:pPr>
              <w:pStyle w:val="TableText"/>
              <w:spacing w:before="196" w:line="217" w:lineRule="auto"/>
              <w:ind w:left="491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指标名称</w:t>
            </w:r>
          </w:p>
        </w:tc>
        <w:tc>
          <w:tcPr>
            <w:tcW w:w="875" w:type="dxa"/>
            <w:vMerge w:val="restart"/>
            <w:tcBorders>
              <w:top w:val="single" w:sz="2" w:space="0" w:color="C0C0C0"/>
            </w:tcBorders>
            <w:shd w:val="clear" w:color="auto" w:fill="C0C0C0"/>
          </w:tcPr>
          <w:p>
            <w:pPr>
              <w:pStyle w:val="TableText"/>
              <w:spacing w:before="40" w:line="218" w:lineRule="auto"/>
              <w:ind w:left="212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考核</w:t>
            </w:r>
          </w:p>
          <w:p>
            <w:pPr>
              <w:pStyle w:val="TableText"/>
              <w:spacing w:before="28" w:line="208" w:lineRule="auto"/>
              <w:ind w:left="216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要求</w:t>
            </w:r>
          </w:p>
        </w:tc>
        <w:tc>
          <w:tcPr>
            <w:tcW w:w="767" w:type="dxa"/>
            <w:vMerge w:val="restart"/>
            <w:tcBorders>
              <w:top w:val="single" w:sz="2" w:space="0" w:color="C0C0C0"/>
            </w:tcBorders>
            <w:shd w:val="clear" w:color="auto" w:fill="C0C0C0"/>
          </w:tcPr>
          <w:p>
            <w:pPr>
              <w:pStyle w:val="TableText"/>
              <w:spacing w:before="40" w:line="218" w:lineRule="auto"/>
              <w:ind w:left="155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考核</w:t>
            </w:r>
          </w:p>
          <w:p>
            <w:pPr>
              <w:pStyle w:val="TableText"/>
              <w:spacing w:before="28" w:line="208" w:lineRule="auto"/>
              <w:ind w:left="156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周期</w:t>
            </w:r>
          </w:p>
        </w:tc>
        <w:tc>
          <w:tcPr>
            <w:tcW w:w="9314" w:type="dxa"/>
            <w:gridSpan w:val="10"/>
            <w:tcBorders>
              <w:top w:val="single" w:sz="2" w:space="0" w:color="C0C0C0"/>
            </w:tcBorders>
            <w:shd w:val="clear" w:color="auto" w:fill="C0C0C0"/>
          </w:tcPr>
          <w:p>
            <w:pPr>
              <w:pStyle w:val="TableText"/>
              <w:spacing w:before="28" w:line="208" w:lineRule="auto"/>
              <w:ind w:left="0" w:right="0" w:firstLine="0" w:leftChars="0" w:rightChars="0" w:firstLineChars="0"/>
              <w:jc w:val="center"/>
              <w:rPr>
                <w:rFonts w:hint="eastAsia"/>
                <w:b/>
                <w:bCs/>
                <w:spacing w:val="-7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pacing w:val="-7"/>
                <w:sz w:val="24"/>
                <w:szCs w:val="24"/>
                <w:lang w:val="en-US" w:eastAsia="zh-CN"/>
              </w:rPr>
              <w:t>统计时间（2025年）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/>
        </w:trPr>
        <w:tc>
          <w:tcPr>
            <w:tcW w:w="494" w:type="dxa"/>
            <w:vMerge/>
            <w:shd w:val="clear" w:color="auto" w:fill="C0C0C0"/>
            <w:textDirection w:val="tbRlV"/>
          </w:tcPr>
          <w:p>
            <w:pPr>
              <w:pStyle w:val="TableText"/>
              <w:spacing w:before="28" w:line="208" w:lineRule="auto"/>
              <w:ind w:left="0" w:right="0" w:firstLine="0" w:leftChars="0" w:rightChars="0" w:firstLineChars="0"/>
              <w:jc w:val="center"/>
            </w:pPr>
          </w:p>
        </w:tc>
        <w:tc>
          <w:tcPr>
            <w:tcW w:w="583" w:type="dxa"/>
            <w:vMerge/>
            <w:shd w:val="clear" w:color="auto" w:fill="C0C0C0"/>
            <w:textDirection w:val="tbRlV"/>
          </w:tcPr>
          <w:p>
            <w:pPr>
              <w:pStyle w:val="TableText"/>
              <w:spacing w:before="28" w:line="208" w:lineRule="auto"/>
              <w:ind w:left="0" w:right="0" w:firstLine="0" w:leftChars="0" w:rightChars="0" w:firstLineChars="0"/>
              <w:jc w:val="center"/>
            </w:pPr>
          </w:p>
        </w:tc>
        <w:tc>
          <w:tcPr>
            <w:tcW w:w="1929" w:type="dxa"/>
            <w:vMerge/>
            <w:shd w:val="clear" w:color="auto" w:fill="C0C0C0"/>
          </w:tcPr>
          <w:p>
            <w:pPr>
              <w:pStyle w:val="TableText"/>
              <w:spacing w:before="28" w:line="208" w:lineRule="auto"/>
              <w:ind w:left="0" w:right="0" w:firstLine="0" w:leftChars="0" w:rightChars="0" w:firstLineChars="0"/>
              <w:jc w:val="center"/>
            </w:pPr>
          </w:p>
        </w:tc>
        <w:tc>
          <w:tcPr>
            <w:tcW w:w="875" w:type="dxa"/>
            <w:vMerge/>
            <w:shd w:val="clear" w:color="auto" w:fill="C0C0C0"/>
          </w:tcPr>
          <w:p>
            <w:pPr>
              <w:pStyle w:val="TableText"/>
              <w:spacing w:before="28" w:line="208" w:lineRule="auto"/>
              <w:ind w:left="0" w:right="0" w:firstLine="0" w:leftChars="0" w:rightChars="0" w:firstLineChars="0"/>
              <w:jc w:val="center"/>
            </w:pPr>
          </w:p>
        </w:tc>
        <w:tc>
          <w:tcPr>
            <w:tcW w:w="767" w:type="dxa"/>
            <w:vMerge/>
            <w:shd w:val="clear" w:color="auto" w:fill="C0C0C0"/>
          </w:tcPr>
          <w:p>
            <w:pPr>
              <w:pStyle w:val="TableText"/>
              <w:spacing w:before="28" w:line="208" w:lineRule="auto"/>
              <w:ind w:left="0" w:right="0" w:firstLine="0" w:leftChars="0" w:rightChars="0" w:firstLineChars="0"/>
              <w:jc w:val="center"/>
            </w:pPr>
          </w:p>
        </w:tc>
        <w:tc>
          <w:tcPr>
            <w:tcW w:w="931" w:type="dxa"/>
            <w:tcBorders>
              <w:top w:val="single" w:sz="2" w:space="0" w:color="C0C0C0"/>
            </w:tcBorders>
            <w:shd w:val="clear" w:color="auto" w:fill="C0C0C0"/>
          </w:tcPr>
          <w:p>
            <w:pPr>
              <w:pStyle w:val="TableText"/>
              <w:spacing w:before="28" w:line="208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1月</w:t>
            </w:r>
          </w:p>
        </w:tc>
        <w:tc>
          <w:tcPr>
            <w:tcW w:w="931" w:type="dxa"/>
            <w:tcBorders>
              <w:top w:val="single" w:sz="2" w:space="0" w:color="C0C0C0"/>
            </w:tcBorders>
            <w:shd w:val="clear" w:color="auto" w:fill="C0C0C0"/>
          </w:tcPr>
          <w:p>
            <w:pPr>
              <w:pStyle w:val="TableText"/>
              <w:spacing w:before="28" w:line="208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2月</w:t>
            </w:r>
          </w:p>
        </w:tc>
        <w:tc>
          <w:tcPr>
            <w:tcW w:w="931" w:type="dxa"/>
            <w:tcBorders>
              <w:top w:val="single" w:sz="2" w:space="0" w:color="C0C0C0"/>
            </w:tcBorders>
            <w:shd w:val="clear" w:color="auto" w:fill="C0C0C0"/>
          </w:tcPr>
          <w:p>
            <w:pPr>
              <w:pStyle w:val="TableText"/>
              <w:spacing w:before="28" w:line="208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3月</w:t>
            </w:r>
          </w:p>
        </w:tc>
        <w:tc>
          <w:tcPr>
            <w:tcW w:w="931" w:type="dxa"/>
            <w:tcBorders>
              <w:top w:val="single" w:sz="2" w:space="0" w:color="C0C0C0"/>
            </w:tcBorders>
            <w:shd w:val="clear" w:color="auto" w:fill="C0C0C0"/>
          </w:tcPr>
          <w:p>
            <w:pPr>
              <w:pStyle w:val="TableText"/>
              <w:spacing w:before="28" w:line="208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4月</w:t>
            </w:r>
          </w:p>
        </w:tc>
        <w:tc>
          <w:tcPr>
            <w:tcW w:w="931" w:type="dxa"/>
            <w:tcBorders>
              <w:top w:val="single" w:sz="2" w:space="0" w:color="C0C0C0"/>
            </w:tcBorders>
            <w:shd w:val="clear" w:color="auto" w:fill="C0C0C0"/>
          </w:tcPr>
          <w:p>
            <w:pPr>
              <w:pStyle w:val="TableText"/>
              <w:spacing w:before="28" w:line="208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5月</w:t>
            </w:r>
          </w:p>
        </w:tc>
        <w:tc>
          <w:tcPr>
            <w:tcW w:w="931" w:type="dxa"/>
            <w:tcBorders>
              <w:top w:val="single" w:sz="2" w:space="0" w:color="C0C0C0"/>
            </w:tcBorders>
            <w:shd w:val="clear" w:color="auto" w:fill="C0C0C0"/>
          </w:tcPr>
          <w:p>
            <w:pPr>
              <w:pStyle w:val="TableText"/>
              <w:spacing w:before="28" w:line="208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6月</w:t>
            </w:r>
          </w:p>
        </w:tc>
        <w:tc>
          <w:tcPr>
            <w:tcW w:w="931" w:type="dxa"/>
            <w:tcBorders>
              <w:top w:val="single" w:sz="2" w:space="0" w:color="C0C0C0"/>
            </w:tcBorders>
            <w:shd w:val="clear" w:color="auto" w:fill="C0C0C0"/>
          </w:tcPr>
          <w:p>
            <w:pPr>
              <w:pStyle w:val="TableText"/>
              <w:spacing w:before="28" w:line="208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7月</w:t>
            </w:r>
          </w:p>
        </w:tc>
        <w:tc>
          <w:tcPr>
            <w:tcW w:w="931" w:type="dxa"/>
            <w:tcBorders>
              <w:top w:val="single" w:sz="2" w:space="0" w:color="C0C0C0"/>
            </w:tcBorders>
            <w:shd w:val="clear" w:color="auto" w:fill="C0C0C0"/>
          </w:tcPr>
          <w:p>
            <w:pPr>
              <w:pStyle w:val="TableText"/>
              <w:spacing w:before="28" w:line="208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8月</w:t>
            </w:r>
          </w:p>
        </w:tc>
        <w:tc>
          <w:tcPr>
            <w:tcW w:w="931" w:type="dxa"/>
            <w:tcBorders>
              <w:top w:val="single" w:sz="2" w:space="0" w:color="C0C0C0"/>
            </w:tcBorders>
            <w:shd w:val="clear" w:color="auto" w:fill="C0C0C0"/>
          </w:tcPr>
          <w:p>
            <w:pPr>
              <w:pStyle w:val="TableText"/>
              <w:spacing w:before="28" w:line="208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9月</w:t>
            </w:r>
          </w:p>
        </w:tc>
        <w:tc>
          <w:tcPr>
            <w:tcW w:w="935" w:type="dxa"/>
            <w:tcBorders>
              <w:top w:val="single" w:sz="2" w:space="0" w:color="C0C0C0"/>
            </w:tcBorders>
            <w:shd w:val="clear" w:color="auto" w:fill="C0C0C0"/>
          </w:tcPr>
          <w:p>
            <w:pPr>
              <w:pStyle w:val="TableText"/>
              <w:spacing w:before="28" w:line="208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10月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/>
        </w:trPr>
        <w:tc>
          <w:tcPr>
            <w:tcW w:w="494" w:type="dxa"/>
          </w:tcPr>
          <w:p>
            <w:pPr>
              <w:pStyle w:val="TableText"/>
              <w:numPr>
                <w:ilvl w:val="0"/>
                <w:numId w:val="2"/>
              </w:numPr>
              <w:spacing w:before="231" w:line="238" w:lineRule="auto"/>
              <w:ind w:left="42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restart"/>
            <w:tcBorders>
              <w:bottom w:val="nil"/>
            </w:tcBorders>
            <w:textDirection w:val="tbRlV"/>
          </w:tcPr>
          <w:p>
            <w:pPr>
              <w:pStyle w:val="TableText"/>
              <w:spacing w:before="172" w:line="202" w:lineRule="auto"/>
              <w:ind w:left="830"/>
              <w:rPr>
                <w:sz w:val="24"/>
                <w:szCs w:val="24"/>
              </w:rPr>
            </w:pPr>
            <w:r>
              <w:rPr>
                <w:b/>
                <w:bCs/>
                <w:spacing w:val="51"/>
                <w:sz w:val="24"/>
                <w:szCs w:val="24"/>
              </w:rPr>
              <w:t>质量指标</w:t>
            </w:r>
          </w:p>
        </w:tc>
        <w:tc>
          <w:tcPr>
            <w:tcW w:w="1929" w:type="dxa"/>
          </w:tcPr>
          <w:p>
            <w:pPr>
              <w:pStyle w:val="TableText"/>
              <w:spacing w:before="230" w:line="219" w:lineRule="auto"/>
              <w:ind w:left="398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SLA达成率</w:t>
            </w:r>
          </w:p>
        </w:tc>
        <w:tc>
          <w:tcPr>
            <w:tcW w:w="875" w:type="dxa"/>
          </w:tcPr>
          <w:p>
            <w:pPr>
              <w:pStyle w:val="TableText"/>
              <w:spacing w:before="230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>
            <w:pPr>
              <w:pStyle w:val="TableText"/>
              <w:spacing w:before="230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</w:tcPr>
          <w:p>
            <w:pPr>
              <w:pStyle w:val="TableText"/>
              <w:spacing w:before="230" w:line="218" w:lineRule="auto"/>
              <w:ind w:left="162"/>
              <w:rPr>
                <w:rFonts w:eastAsia="宋体" w:hint="eastAsia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</w:tcPr>
          <w:p>
            <w:pPr>
              <w:pStyle w:val="TableText"/>
              <w:spacing w:before="230" w:line="218" w:lineRule="auto"/>
              <w:ind w:left="162"/>
              <w:rPr>
                <w:rFonts w:eastAsia="宋体" w:hint="eastAsia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</w:tcPr>
          <w:p>
            <w:pPr>
              <w:pStyle w:val="TableText"/>
              <w:spacing w:before="230" w:line="218" w:lineRule="auto"/>
              <w:ind w:left="162"/>
              <w:rPr>
                <w:rFonts w:eastAsia="宋体" w:hint="eastAsia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</w:tcPr>
          <w:p>
            <w:pPr>
              <w:pStyle w:val="TableText"/>
              <w:spacing w:before="230" w:line="218" w:lineRule="auto"/>
              <w:ind w:left="162"/>
              <w:rPr>
                <w:rFonts w:eastAsia="宋体" w:hint="eastAsia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</w:tcPr>
          <w:p>
            <w:pPr>
              <w:pStyle w:val="TableText"/>
              <w:spacing w:before="230" w:line="218" w:lineRule="auto"/>
              <w:ind w:left="162"/>
              <w:rPr>
                <w:rFonts w:eastAsia="宋体" w:hint="eastAsia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</w:tcPr>
          <w:p>
            <w:pPr>
              <w:pStyle w:val="TableText"/>
              <w:spacing w:before="230" w:line="218" w:lineRule="auto"/>
              <w:ind w:left="162"/>
              <w:rPr>
                <w:rFonts w:eastAsia="宋体" w:hint="eastAsia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</w:tcPr>
          <w:p>
            <w:pPr>
              <w:pStyle w:val="TableText"/>
              <w:spacing w:before="230" w:line="218" w:lineRule="auto"/>
              <w:ind w:left="162"/>
              <w:rPr>
                <w:rFonts w:eastAsia="宋体" w:hint="eastAsia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</w:tcPr>
          <w:p>
            <w:pPr>
              <w:pStyle w:val="TableText"/>
              <w:spacing w:before="230" w:line="218" w:lineRule="auto"/>
              <w:ind w:left="162"/>
              <w:rPr>
                <w:rFonts w:eastAsia="宋体" w:hint="eastAsia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</w:tcPr>
          <w:p>
            <w:pPr>
              <w:pStyle w:val="TableText"/>
              <w:spacing w:before="230" w:line="218" w:lineRule="auto"/>
              <w:ind w:left="162"/>
              <w:rPr>
                <w:rFonts w:eastAsia="宋体" w:hint="eastAsia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</w:tcPr>
          <w:p>
            <w:pPr>
              <w:pStyle w:val="TableText"/>
              <w:spacing w:before="230" w:line="218" w:lineRule="auto"/>
              <w:ind w:left="162"/>
              <w:rPr>
                <w:rFonts w:eastAsia="宋体" w:hint="default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/>
        </w:trPr>
        <w:tc>
          <w:tcPr>
            <w:tcW w:w="494" w:type="dxa"/>
          </w:tcPr>
          <w:p>
            <w:pPr>
              <w:pStyle w:val="TableText"/>
              <w:numPr>
                <w:ilvl w:val="0"/>
                <w:numId w:val="2"/>
              </w:numPr>
              <w:spacing w:before="233" w:line="238" w:lineRule="auto"/>
              <w:ind w:left="42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/>
            <w:tcBorders>
              <w:top w:val="nil"/>
              <w:bottom w:val="nil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3" w:line="218" w:lineRule="auto"/>
              <w:ind w:left="377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客户满意度</w:t>
            </w:r>
          </w:p>
        </w:tc>
        <w:tc>
          <w:tcPr>
            <w:tcW w:w="875" w:type="dxa"/>
          </w:tcPr>
          <w:p>
            <w:pPr>
              <w:pStyle w:val="TableText"/>
              <w:spacing w:before="233" w:line="237" w:lineRule="auto"/>
              <w:ind w:left="168"/>
              <w:rPr>
                <w:rFonts w:eastAsia="宋体" w:hint="default"/>
                <w:sz w:val="24"/>
                <w:szCs w:val="24"/>
                <w:lang w:val="en-US" w:eastAsia="zh-CN"/>
              </w:rPr>
            </w:pPr>
            <w:r>
              <w:rPr>
                <w:spacing w:val="-9"/>
                <w:sz w:val="24"/>
                <w:szCs w:val="24"/>
              </w:rPr>
              <w:t>≥9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5分</w:t>
            </w:r>
          </w:p>
        </w:tc>
        <w:tc>
          <w:tcPr>
            <w:tcW w:w="767" w:type="dxa"/>
          </w:tcPr>
          <w:p>
            <w:pPr>
              <w:pStyle w:val="TableText"/>
              <w:spacing w:before="233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</w:tcPr>
          <w:p>
            <w:pPr>
              <w:pStyle w:val="TableText"/>
              <w:spacing w:before="233" w:line="218" w:lineRule="auto"/>
              <w:ind w:left="162"/>
              <w:rPr>
                <w:rFonts w:eastAsia="宋体" w:hint="default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95分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/>
        </w:trPr>
        <w:tc>
          <w:tcPr>
            <w:tcW w:w="494" w:type="dxa"/>
          </w:tcPr>
          <w:p>
            <w:pPr>
              <w:pStyle w:val="TableText"/>
              <w:numPr>
                <w:ilvl w:val="0"/>
                <w:numId w:val="2"/>
              </w:numPr>
              <w:spacing w:before="231" w:line="237" w:lineRule="auto"/>
              <w:ind w:left="42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/>
            <w:tcBorders>
              <w:top w:val="nil"/>
              <w:bottom w:val="nil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2" w:line="218" w:lineRule="auto"/>
              <w:ind w:left="403"/>
              <w:rPr>
                <w:sz w:val="24"/>
                <w:szCs w:val="24"/>
              </w:rPr>
            </w:pPr>
            <w:r>
              <w:rPr>
                <w:spacing w:val="-8"/>
                <w:sz w:val="24"/>
                <w:szCs w:val="24"/>
              </w:rPr>
              <w:t>内审覆盖率</w:t>
            </w:r>
          </w:p>
        </w:tc>
        <w:tc>
          <w:tcPr>
            <w:tcW w:w="875" w:type="dxa"/>
          </w:tcPr>
          <w:p>
            <w:pPr>
              <w:pStyle w:val="TableText"/>
              <w:spacing w:before="231" w:line="237" w:lineRule="auto"/>
              <w:ind w:left="22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100%</w:t>
            </w:r>
          </w:p>
        </w:tc>
        <w:tc>
          <w:tcPr>
            <w:tcW w:w="767" w:type="dxa"/>
          </w:tcPr>
          <w:p>
            <w:pPr>
              <w:pStyle w:val="TableText"/>
              <w:spacing w:before="232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</w:tcPr>
          <w:p>
            <w:pPr>
              <w:pStyle w:val="TableText"/>
              <w:numPr>
                <w:ilvl w:val="0"/>
                <w:numId w:val="2"/>
              </w:numPr>
              <w:spacing w:before="233" w:line="238" w:lineRule="auto"/>
              <w:ind w:left="42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/>
            <w:tcBorders>
              <w:top w:val="nil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3" w:line="218" w:lineRule="auto"/>
              <w:ind w:left="134"/>
              <w:rPr>
                <w:rFonts w:eastAsia="宋体"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管理评审次数</w:t>
            </w:r>
          </w:p>
        </w:tc>
        <w:tc>
          <w:tcPr>
            <w:tcW w:w="875" w:type="dxa"/>
          </w:tcPr>
          <w:p>
            <w:pPr>
              <w:pStyle w:val="TableText"/>
              <w:spacing w:before="233" w:line="237" w:lineRule="auto"/>
              <w:ind w:left="168"/>
              <w:rPr>
                <w:rFonts w:eastAsia="宋体" w:hint="default"/>
                <w:sz w:val="24"/>
                <w:szCs w:val="24"/>
                <w:lang w:val="en-US" w:eastAsia="zh-CN"/>
              </w:rPr>
            </w:pPr>
            <w:r>
              <w:rPr>
                <w:spacing w:val="-9"/>
                <w:sz w:val="24"/>
                <w:szCs w:val="24"/>
              </w:rPr>
              <w:t>≥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1次</w:t>
            </w:r>
          </w:p>
        </w:tc>
        <w:tc>
          <w:tcPr>
            <w:tcW w:w="767" w:type="dxa"/>
          </w:tcPr>
          <w:p>
            <w:pPr>
              <w:pStyle w:val="TableText"/>
              <w:spacing w:before="233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1次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/>
        </w:trPr>
        <w:tc>
          <w:tcPr>
            <w:tcW w:w="494" w:type="dxa"/>
          </w:tcPr>
          <w:p>
            <w:pPr>
              <w:pStyle w:val="TableText"/>
              <w:numPr>
                <w:ilvl w:val="0"/>
                <w:numId w:val="2"/>
              </w:numPr>
              <w:spacing w:before="235" w:line="237" w:lineRule="auto"/>
              <w:ind w:left="42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restart"/>
            <w:textDirection w:val="tbRlV"/>
          </w:tcPr>
          <w:p>
            <w:pPr>
              <w:pStyle w:val="TableText"/>
              <w:spacing w:before="171" w:line="202" w:lineRule="auto"/>
              <w:ind w:left="835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人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员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管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理</w:t>
            </w:r>
          </w:p>
        </w:tc>
        <w:tc>
          <w:tcPr>
            <w:tcW w:w="1929" w:type="dxa"/>
          </w:tcPr>
          <w:p>
            <w:pPr>
              <w:pStyle w:val="TableText"/>
              <w:spacing w:before="235" w:line="218" w:lineRule="auto"/>
              <w:ind w:left="133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招聘计划完成率</w:t>
            </w:r>
          </w:p>
        </w:tc>
        <w:tc>
          <w:tcPr>
            <w:tcW w:w="875" w:type="dxa"/>
          </w:tcPr>
          <w:p>
            <w:pPr>
              <w:pStyle w:val="TableText"/>
              <w:spacing w:before="235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>
            <w:pPr>
              <w:pStyle w:val="TableText"/>
              <w:spacing w:before="235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/>
        </w:trPr>
        <w:tc>
          <w:tcPr>
            <w:tcW w:w="494" w:type="dxa"/>
          </w:tcPr>
          <w:p>
            <w:pPr>
              <w:pStyle w:val="TableText"/>
              <w:numPr>
                <w:ilvl w:val="0"/>
                <w:numId w:val="2"/>
              </w:numPr>
              <w:spacing w:before="232" w:line="237" w:lineRule="auto"/>
              <w:ind w:left="42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/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2" w:line="218" w:lineRule="auto"/>
              <w:ind w:left="134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储备计划完成率</w:t>
            </w:r>
          </w:p>
        </w:tc>
        <w:tc>
          <w:tcPr>
            <w:tcW w:w="875" w:type="dxa"/>
          </w:tcPr>
          <w:p>
            <w:pPr>
              <w:pStyle w:val="TableText"/>
              <w:spacing w:before="232" w:line="237" w:lineRule="auto"/>
              <w:ind w:left="22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100%</w:t>
            </w:r>
          </w:p>
        </w:tc>
        <w:tc>
          <w:tcPr>
            <w:tcW w:w="767" w:type="dxa"/>
          </w:tcPr>
          <w:p>
            <w:pPr>
              <w:pStyle w:val="TableText"/>
              <w:spacing w:before="232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/>
        </w:trPr>
        <w:tc>
          <w:tcPr>
            <w:tcW w:w="494" w:type="dxa"/>
          </w:tcPr>
          <w:p>
            <w:pPr>
              <w:pStyle w:val="TableText"/>
              <w:numPr>
                <w:ilvl w:val="0"/>
                <w:numId w:val="2"/>
              </w:numPr>
              <w:spacing w:before="232" w:line="237" w:lineRule="auto"/>
              <w:ind w:left="42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/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2" w:line="218" w:lineRule="auto"/>
              <w:ind w:left="134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培训计划完成率</w:t>
            </w:r>
          </w:p>
        </w:tc>
        <w:tc>
          <w:tcPr>
            <w:tcW w:w="875" w:type="dxa"/>
          </w:tcPr>
          <w:p>
            <w:pPr>
              <w:pStyle w:val="TableText"/>
              <w:spacing w:before="232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≥98%</w:t>
            </w:r>
          </w:p>
        </w:tc>
        <w:tc>
          <w:tcPr>
            <w:tcW w:w="767" w:type="dxa"/>
          </w:tcPr>
          <w:p>
            <w:pPr>
              <w:pStyle w:val="TableText"/>
              <w:spacing w:before="232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/>
        </w:trPr>
        <w:tc>
          <w:tcPr>
            <w:tcW w:w="494" w:type="dxa"/>
          </w:tcPr>
          <w:p>
            <w:pPr>
              <w:pStyle w:val="TableText"/>
              <w:numPr>
                <w:ilvl w:val="0"/>
                <w:numId w:val="2"/>
              </w:numPr>
              <w:spacing w:before="235" w:line="237" w:lineRule="auto"/>
              <w:ind w:left="42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/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5" w:line="218" w:lineRule="auto"/>
              <w:ind w:left="137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绩效考核覆盖率</w:t>
            </w:r>
          </w:p>
        </w:tc>
        <w:tc>
          <w:tcPr>
            <w:tcW w:w="875" w:type="dxa"/>
          </w:tcPr>
          <w:p>
            <w:pPr>
              <w:pStyle w:val="TableText"/>
              <w:spacing w:before="235" w:line="237" w:lineRule="auto"/>
              <w:ind w:left="22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100%</w:t>
            </w:r>
          </w:p>
        </w:tc>
        <w:tc>
          <w:tcPr>
            <w:tcW w:w="767" w:type="dxa"/>
          </w:tcPr>
          <w:p>
            <w:pPr>
              <w:pStyle w:val="TableText"/>
              <w:spacing w:before="234" w:line="219" w:lineRule="auto"/>
              <w:ind w:left="16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/>
        </w:trPr>
        <w:tc>
          <w:tcPr>
            <w:tcW w:w="494" w:type="dxa"/>
          </w:tcPr>
          <w:p>
            <w:pPr>
              <w:pStyle w:val="TableText"/>
              <w:numPr>
                <w:ilvl w:val="0"/>
                <w:numId w:val="2"/>
              </w:numPr>
              <w:spacing w:before="235" w:line="237" w:lineRule="auto"/>
              <w:ind w:left="42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/>
            <w:tcBorders>
              <w:bottom w:val="single" w:sz="4" w:space="0" w:color="auto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5" w:line="218" w:lineRule="auto"/>
              <w:ind w:left="137"/>
              <w:rPr>
                <w:rFonts w:hint="eastAsia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备份计划完成率</w:t>
            </w:r>
          </w:p>
        </w:tc>
        <w:tc>
          <w:tcPr>
            <w:tcW w:w="875" w:type="dxa"/>
            <w:shd w:val="clear" w:color="auto" w:fill="auto"/>
          </w:tcPr>
          <w:p>
            <w:pPr>
              <w:pStyle w:val="TableText"/>
              <w:widowControl w:val="0"/>
              <w:spacing w:before="235" w:line="237" w:lineRule="auto"/>
              <w:ind w:left="168" w:leftChars="0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spacing w:val="-9"/>
                <w:sz w:val="24"/>
                <w:szCs w:val="24"/>
              </w:rPr>
              <w:t>≥9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0%</w:t>
            </w:r>
          </w:p>
        </w:tc>
        <w:tc>
          <w:tcPr>
            <w:tcW w:w="767" w:type="dxa"/>
            <w:shd w:val="clear" w:color="auto" w:fill="auto"/>
          </w:tcPr>
          <w:p>
            <w:pPr>
              <w:pStyle w:val="TableText"/>
              <w:widowControl w:val="0"/>
              <w:spacing w:before="235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/>
        </w:trPr>
        <w:tc>
          <w:tcPr>
            <w:tcW w:w="494" w:type="dxa"/>
          </w:tcPr>
          <w:p>
            <w:pPr>
              <w:pStyle w:val="TableText"/>
              <w:numPr>
                <w:ilvl w:val="0"/>
                <w:numId w:val="2"/>
              </w:numPr>
              <w:spacing w:before="235" w:line="237" w:lineRule="auto"/>
              <w:ind w:left="42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/>
            <w:tcBorders>
              <w:bottom w:val="single" w:sz="4" w:space="0" w:color="auto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>
            <w:pPr>
              <w:pStyle w:val="TableText"/>
              <w:spacing w:before="235" w:line="218" w:lineRule="auto"/>
              <w:ind w:left="137"/>
              <w:rPr>
                <w:rFonts w:eastAsia="宋体" w:hint="default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技能评定覆盖率</w:t>
            </w:r>
          </w:p>
        </w:tc>
        <w:tc>
          <w:tcPr>
            <w:tcW w:w="875" w:type="dxa"/>
          </w:tcPr>
          <w:p>
            <w:pPr>
              <w:pStyle w:val="TableText"/>
              <w:spacing w:before="235" w:line="237" w:lineRule="auto"/>
              <w:ind w:left="221"/>
              <w:rPr>
                <w:rFonts w:eastAsia="宋体" w:hint="default"/>
                <w:spacing w:val="-5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767" w:type="dxa"/>
          </w:tcPr>
          <w:p>
            <w:pPr>
              <w:pStyle w:val="TableText"/>
              <w:spacing w:before="234" w:line="219" w:lineRule="auto"/>
              <w:ind w:left="161"/>
              <w:rPr>
                <w:rFonts w:eastAsia="宋体" w:hint="eastAsia"/>
                <w:spacing w:val="-5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/>
        </w:trPr>
        <w:tc>
          <w:tcPr>
            <w:tcW w:w="494" w:type="dxa"/>
            <w:tcBorders>
              <w:right w:val="single" w:sz="4" w:space="0" w:color="auto"/>
            </w:tcBorders>
          </w:tcPr>
          <w:p>
            <w:pPr>
              <w:pStyle w:val="TableText"/>
              <w:numPr>
                <w:ilvl w:val="0"/>
                <w:numId w:val="2"/>
              </w:numPr>
              <w:spacing w:before="232" w:line="237" w:lineRule="auto"/>
              <w:ind w:left="42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tbRlV"/>
          </w:tcPr>
          <w:p>
            <w:pPr>
              <w:pStyle w:val="TableText"/>
              <w:spacing w:before="171" w:line="202" w:lineRule="auto"/>
              <w:ind w:left="1190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资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源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管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理</w:t>
            </w:r>
          </w:p>
        </w:tc>
        <w:tc>
          <w:tcPr>
            <w:tcW w:w="1929" w:type="dxa"/>
            <w:tcBorders>
              <w:left w:val="single" w:sz="4" w:space="0" w:color="auto"/>
            </w:tcBorders>
          </w:tcPr>
          <w:p>
            <w:pPr>
              <w:pStyle w:val="TableText"/>
              <w:spacing w:before="78" w:line="238" w:lineRule="auto"/>
              <w:ind w:left="861" w:right="126" w:hanging="728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服务台派单成功</w:t>
            </w:r>
            <w:r>
              <w:rPr>
                <w:sz w:val="24"/>
                <w:szCs w:val="24"/>
              </w:rPr>
              <w:t>率</w:t>
            </w:r>
          </w:p>
        </w:tc>
        <w:tc>
          <w:tcPr>
            <w:tcW w:w="875" w:type="dxa"/>
          </w:tcPr>
          <w:p>
            <w:pPr>
              <w:pStyle w:val="TableText"/>
              <w:spacing w:before="232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>
            <w:pPr>
              <w:pStyle w:val="TableText"/>
              <w:spacing w:before="232" w:line="219" w:lineRule="auto"/>
              <w:ind w:left="16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95%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/>
        </w:trPr>
        <w:tc>
          <w:tcPr>
            <w:tcW w:w="494" w:type="dxa"/>
            <w:tcBorders>
              <w:right w:val="single" w:sz="4" w:space="0" w:color="auto"/>
            </w:tcBorders>
          </w:tcPr>
          <w:p>
            <w:pPr>
              <w:pStyle w:val="TableText"/>
              <w:numPr>
                <w:ilvl w:val="0"/>
                <w:numId w:val="2"/>
              </w:numPr>
              <w:spacing w:before="233" w:line="237" w:lineRule="auto"/>
              <w:ind w:left="42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sz="4" w:space="0" w:color="auto"/>
            </w:tcBorders>
          </w:tcPr>
          <w:p>
            <w:pPr>
              <w:pStyle w:val="TableText"/>
              <w:spacing w:before="233" w:line="217" w:lineRule="auto"/>
              <w:ind w:left="253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服务台回访率</w:t>
            </w:r>
          </w:p>
        </w:tc>
        <w:tc>
          <w:tcPr>
            <w:tcW w:w="875" w:type="dxa"/>
          </w:tcPr>
          <w:p>
            <w:pPr>
              <w:pStyle w:val="TableText"/>
              <w:spacing w:before="233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>
            <w:pPr>
              <w:pStyle w:val="TableText"/>
              <w:spacing w:before="233" w:line="217" w:lineRule="auto"/>
              <w:ind w:left="158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半年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/>
        </w:trPr>
        <w:tc>
          <w:tcPr>
            <w:tcW w:w="494" w:type="dxa"/>
            <w:tcBorders>
              <w:right w:val="single" w:sz="4" w:space="0" w:color="auto"/>
            </w:tcBorders>
          </w:tcPr>
          <w:p>
            <w:pPr>
              <w:pStyle w:val="TableText"/>
              <w:numPr>
                <w:ilvl w:val="0"/>
                <w:numId w:val="2"/>
              </w:numPr>
              <w:spacing w:before="236" w:line="238" w:lineRule="auto"/>
              <w:ind w:left="42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sz="4" w:space="0" w:color="auto"/>
            </w:tcBorders>
          </w:tcPr>
          <w:p>
            <w:pPr>
              <w:pStyle w:val="TableText"/>
              <w:spacing w:before="236" w:line="218" w:lineRule="auto"/>
              <w:ind w:left="255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服务知识录入条数</w:t>
            </w:r>
          </w:p>
        </w:tc>
        <w:tc>
          <w:tcPr>
            <w:tcW w:w="875" w:type="dxa"/>
          </w:tcPr>
          <w:p>
            <w:pPr>
              <w:pStyle w:val="TableText"/>
              <w:spacing w:before="236" w:line="237" w:lineRule="auto"/>
              <w:ind w:left="168"/>
              <w:rPr>
                <w:rFonts w:eastAsia="宋体" w:hint="default"/>
                <w:sz w:val="24"/>
                <w:szCs w:val="24"/>
                <w:lang w:val="en-US" w:eastAsia="zh-CN"/>
              </w:rPr>
            </w:pPr>
            <w:r>
              <w:rPr>
                <w:spacing w:val="-9"/>
                <w:sz w:val="24"/>
                <w:szCs w:val="24"/>
              </w:rPr>
              <w:t>≥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20条</w:t>
            </w:r>
          </w:p>
        </w:tc>
        <w:tc>
          <w:tcPr>
            <w:tcW w:w="767" w:type="dxa"/>
          </w:tcPr>
          <w:p>
            <w:pPr>
              <w:pStyle w:val="TableText"/>
              <w:spacing w:before="236" w:line="219" w:lineRule="auto"/>
              <w:ind w:left="16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40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38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40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/>
        </w:trPr>
        <w:tc>
          <w:tcPr>
            <w:tcW w:w="494" w:type="dxa"/>
            <w:tcBorders>
              <w:right w:val="single" w:sz="4" w:space="0" w:color="auto"/>
            </w:tcBorders>
          </w:tcPr>
          <w:p>
            <w:pPr>
              <w:pStyle w:val="TableText"/>
              <w:numPr>
                <w:ilvl w:val="0"/>
                <w:numId w:val="2"/>
              </w:numPr>
              <w:spacing w:before="234" w:line="238" w:lineRule="auto"/>
              <w:ind w:left="42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sz="4" w:space="0" w:color="auto"/>
            </w:tcBorders>
          </w:tcPr>
          <w:p>
            <w:pPr>
              <w:pStyle w:val="TableText"/>
              <w:spacing w:before="234" w:line="218" w:lineRule="auto"/>
              <w:ind w:left="375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备件可用率</w:t>
            </w:r>
          </w:p>
        </w:tc>
        <w:tc>
          <w:tcPr>
            <w:tcW w:w="875" w:type="dxa"/>
          </w:tcPr>
          <w:p>
            <w:pPr>
              <w:pStyle w:val="TableText"/>
              <w:spacing w:before="233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>
            <w:pPr>
              <w:pStyle w:val="TableText"/>
              <w:spacing w:before="233" w:line="219" w:lineRule="auto"/>
              <w:ind w:left="16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95%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  <w:tcBorders>
              <w:right w:val="single" w:sz="4" w:space="0" w:color="auto"/>
            </w:tcBorders>
          </w:tcPr>
          <w:p>
            <w:pPr>
              <w:pStyle w:val="TableText"/>
              <w:numPr>
                <w:ilvl w:val="0"/>
                <w:numId w:val="2"/>
              </w:numPr>
              <w:spacing w:before="235" w:line="237" w:lineRule="auto"/>
              <w:ind w:left="425" w:hanging="425" w:leftChars="0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sz="4" w:space="0" w:color="auto"/>
            </w:tcBorders>
          </w:tcPr>
          <w:p>
            <w:pPr>
              <w:pStyle w:val="TableText"/>
              <w:spacing w:before="235" w:line="218" w:lineRule="auto"/>
              <w:rPr>
                <w:rFonts w:eastAsia="宋体"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工具自评估次数</w:t>
            </w:r>
          </w:p>
        </w:tc>
        <w:tc>
          <w:tcPr>
            <w:tcW w:w="875" w:type="dxa"/>
          </w:tcPr>
          <w:p>
            <w:pPr>
              <w:pStyle w:val="TableText"/>
              <w:spacing w:before="235" w:line="237" w:lineRule="auto"/>
              <w:ind w:left="168"/>
              <w:rPr>
                <w:rFonts w:eastAsia="宋体" w:hint="eastAsia"/>
                <w:sz w:val="24"/>
                <w:szCs w:val="24"/>
                <w:lang w:eastAsia="zh-CN"/>
              </w:rPr>
            </w:pPr>
            <w:r>
              <w:rPr>
                <w:spacing w:val="-9"/>
                <w:sz w:val="24"/>
                <w:szCs w:val="24"/>
              </w:rPr>
              <w:t>≥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767" w:type="dxa"/>
          </w:tcPr>
          <w:p>
            <w:pPr>
              <w:pStyle w:val="TableText"/>
              <w:spacing w:before="235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1次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  <w:tcBorders>
              <w:right w:val="single" w:sz="4" w:space="0" w:color="auto"/>
            </w:tcBorders>
          </w:tcPr>
          <w:p>
            <w:pPr>
              <w:pStyle w:val="TableText"/>
              <w:numPr>
                <w:ilvl w:val="0"/>
                <w:numId w:val="2"/>
              </w:numPr>
              <w:spacing w:before="235" w:line="237" w:lineRule="auto"/>
              <w:ind w:left="425" w:hanging="425" w:leftChars="0" w:firstLineChars="0"/>
              <w:rPr>
                <w:spacing w:val="-7"/>
                <w:sz w:val="24"/>
                <w:szCs w:val="24"/>
              </w:rPr>
            </w:pPr>
          </w:p>
        </w:tc>
        <w:tc>
          <w:tcPr>
            <w:tcW w:w="583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sz="4" w:space="0" w:color="auto"/>
            </w:tcBorders>
            <w:shd w:val="clear" w:color="auto" w:fill="auto"/>
          </w:tcPr>
          <w:p>
            <w:pPr>
              <w:pStyle w:val="TableText"/>
              <w:spacing w:before="237" w:line="237" w:lineRule="auto"/>
              <w:ind w:left="168" w:leftChars="0"/>
              <w:rPr>
                <w:rFonts w:hint="eastAsia"/>
                <w:spacing w:val="-9"/>
                <w:sz w:val="24"/>
                <w:szCs w:val="24"/>
                <w:lang w:val="en-US" w:eastAsia="zh-CN"/>
              </w:rPr>
            </w:pPr>
            <w:r>
              <w:rPr>
                <w:spacing w:val="-9"/>
                <w:sz w:val="24"/>
                <w:szCs w:val="24"/>
              </w:rPr>
              <w:t>软件入库合格率</w:t>
            </w:r>
          </w:p>
        </w:tc>
        <w:tc>
          <w:tcPr>
            <w:tcW w:w="875" w:type="dxa"/>
            <w:shd w:val="clear" w:color="auto" w:fill="auto"/>
          </w:tcPr>
          <w:p>
            <w:pPr>
              <w:pStyle w:val="TableText"/>
              <w:spacing w:before="237" w:line="237" w:lineRule="auto"/>
              <w:ind w:left="168" w:leftChars="0"/>
              <w:rPr>
                <w:spacing w:val="-9"/>
                <w:sz w:val="24"/>
                <w:szCs w:val="24"/>
                <w:lang w:val="en-US" w:eastAsia="en-US"/>
              </w:rPr>
            </w:pPr>
            <w:r>
              <w:rPr>
                <w:spacing w:val="-9"/>
                <w:sz w:val="24"/>
                <w:szCs w:val="24"/>
              </w:rPr>
              <w:t>≥98%</w:t>
            </w:r>
          </w:p>
        </w:tc>
        <w:tc>
          <w:tcPr>
            <w:tcW w:w="767" w:type="dxa"/>
            <w:shd w:val="clear" w:color="auto" w:fill="auto"/>
          </w:tcPr>
          <w:p>
            <w:pPr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t>季度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FF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-6"/>
                <w:sz w:val="24"/>
                <w:szCs w:val="24"/>
                <w:lang w:val="en-US" w:eastAsia="zh-CN"/>
              </w:rPr>
              <w:t>95%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-6"/>
                <w:sz w:val="24"/>
                <w:szCs w:val="24"/>
                <w:lang w:val="en-US" w:eastAsia="zh-CN"/>
              </w:rPr>
              <w:t>97%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/>
        </w:trPr>
        <w:tc>
          <w:tcPr>
            <w:tcW w:w="494" w:type="dxa"/>
            <w:tcBorders>
              <w:right w:val="single" w:sz="4" w:space="0" w:color="auto"/>
            </w:tcBorders>
          </w:tcPr>
          <w:p>
            <w:pPr>
              <w:pStyle w:val="TableText"/>
              <w:numPr>
                <w:ilvl w:val="0"/>
                <w:numId w:val="2"/>
              </w:numPr>
              <w:spacing w:before="235" w:line="237" w:lineRule="auto"/>
              <w:ind w:left="425" w:hanging="425" w:leftChars="0" w:firstLineChars="0"/>
              <w:rPr>
                <w:spacing w:val="-7"/>
                <w:sz w:val="24"/>
                <w:szCs w:val="24"/>
              </w:rPr>
            </w:pPr>
          </w:p>
        </w:tc>
        <w:tc>
          <w:tcPr>
            <w:tcW w:w="58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sz="4" w:space="0" w:color="auto"/>
            </w:tcBorders>
            <w:shd w:val="clear" w:color="auto" w:fill="auto"/>
          </w:tcPr>
          <w:p>
            <w:pPr>
              <w:pStyle w:val="a1"/>
              <w:ind w:left="0" w:firstLine="0" w:leftChars="0" w:firstLineChars="0"/>
              <w:rPr>
                <w:rFonts w:ascii="Arial" w:eastAsia="宋体" w:hAnsi="Arial"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分析利用次数</w:t>
            </w:r>
          </w:p>
        </w:tc>
        <w:tc>
          <w:tcPr>
            <w:tcW w:w="875" w:type="dxa"/>
            <w:shd w:val="clear" w:color="auto" w:fill="auto"/>
          </w:tcPr>
          <w:p>
            <w:pPr>
              <w:pStyle w:val="TableText"/>
              <w:spacing w:before="237" w:line="237" w:lineRule="auto"/>
              <w:ind w:left="168" w:leftChars="0"/>
              <w:rPr>
                <w:rFonts w:hint="default"/>
                <w:spacing w:val="-9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≥2次</w:t>
            </w:r>
          </w:p>
        </w:tc>
        <w:tc>
          <w:tcPr>
            <w:tcW w:w="767" w:type="dxa"/>
            <w:shd w:val="clear" w:color="auto" w:fill="auto"/>
          </w:tcPr>
          <w:p>
            <w:pPr>
              <w:pStyle w:val="TableText"/>
              <w:spacing w:before="237" w:line="237" w:lineRule="auto"/>
              <w:ind w:left="168" w:leftChars="0"/>
              <w:rPr>
                <w:rFonts w:hint="eastAsia"/>
                <w:spacing w:val="-9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季度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2次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3次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3次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7" w:line="238" w:lineRule="auto"/>
              <w:ind w:left="425" w:hanging="425" w:lef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restart"/>
            <w:tcBorders>
              <w:top w:val="single" w:sz="4" w:space="0" w:color="auto"/>
            </w:tcBorders>
            <w:shd w:val="clear" w:color="auto" w:fill="auto"/>
            <w:textDirection w:val="tbRlV"/>
          </w:tcPr>
          <w:p>
            <w:pP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技术</w:t>
            </w:r>
            <w:r>
              <w:rPr>
                <w:rFonts w:hint="eastAsia"/>
                <w:b/>
                <w:bCs/>
                <w:spacing w:val="-3"/>
                <w:sz w:val="24"/>
                <w:szCs w:val="24"/>
                <w:lang w:val="en-US" w:eastAsia="zh-CN"/>
              </w:rPr>
              <w:t>管理</w:t>
            </w:r>
          </w:p>
        </w:tc>
        <w:tc>
          <w:tcPr>
            <w:tcW w:w="1929" w:type="dxa"/>
            <w:shd w:val="clear" w:color="auto" w:fill="auto"/>
          </w:tcPr>
          <w:p>
            <w:pPr>
              <w:pStyle w:val="TableText"/>
              <w:spacing w:before="236" w:line="219" w:lineRule="auto"/>
              <w:ind w:left="133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  <w:sz w:val="24"/>
                <w:szCs w:val="24"/>
              </w:rPr>
              <w:t>研发资金投入率</w:t>
            </w:r>
          </w:p>
        </w:tc>
        <w:tc>
          <w:tcPr>
            <w:tcW w:w="875" w:type="dxa"/>
            <w:shd w:val="clear" w:color="auto" w:fill="auto"/>
          </w:tcPr>
          <w:p>
            <w:pPr>
              <w:pStyle w:val="TableText"/>
              <w:spacing w:before="237" w:line="237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  <w:shd w:val="clear" w:color="auto" w:fill="auto"/>
          </w:tcPr>
          <w:p>
            <w:pPr>
              <w:pStyle w:val="TableText"/>
              <w:spacing w:before="237" w:line="218" w:lineRule="auto"/>
              <w:ind w:left="16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5" w:line="237" w:lineRule="auto"/>
              <w:ind w:left="425" w:hanging="425" w:lef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</w:tcPr>
          <w:p>
            <w:pPr>
              <w:pStyle w:val="TableText"/>
              <w:spacing w:before="235" w:line="218" w:lineRule="auto"/>
              <w:ind w:left="133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  <w:sz w:val="24"/>
                <w:szCs w:val="24"/>
              </w:rPr>
              <w:t>研发计划完成率</w:t>
            </w:r>
          </w:p>
        </w:tc>
        <w:tc>
          <w:tcPr>
            <w:tcW w:w="875" w:type="dxa"/>
            <w:shd w:val="clear" w:color="auto" w:fill="auto"/>
          </w:tcPr>
          <w:p>
            <w:pPr>
              <w:pStyle w:val="TableText"/>
              <w:spacing w:before="235" w:line="237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  <w:shd w:val="clear" w:color="auto" w:fill="auto"/>
          </w:tcPr>
          <w:p>
            <w:pPr>
              <w:pStyle w:val="TableText"/>
              <w:spacing w:before="235" w:line="218" w:lineRule="auto"/>
              <w:ind w:left="16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5" w:line="237" w:lineRule="auto"/>
              <w:ind w:left="425" w:hanging="425" w:leftChars="0" w:firstLineChars="0"/>
              <w:rPr>
                <w:spacing w:val="-7"/>
                <w:sz w:val="24"/>
                <w:szCs w:val="24"/>
              </w:rPr>
            </w:pPr>
          </w:p>
        </w:tc>
        <w:tc>
          <w:tcPr>
            <w:tcW w:w="583" w:type="dxa"/>
            <w:vMerge w:val="restart"/>
            <w:shd w:val="clear" w:color="auto" w:fill="auto"/>
          </w:tcPr>
          <w:p>
            <w:pPr>
              <w:ind w:left="113" w:right="113"/>
              <w:rPr>
                <w:lang w:val="en-US" w:eastAsia="en-US"/>
              </w:rPr>
            </w:pPr>
            <w:r>
              <w:rPr>
                <w:rFonts w:ascii="宋体" w:eastAsia="宋体" w:hAnsi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过程管理</w:t>
            </w:r>
          </w:p>
        </w:tc>
        <w:tc>
          <w:tcPr>
            <w:tcW w:w="1929" w:type="dxa"/>
            <w:shd w:val="clear" w:color="auto" w:fill="auto"/>
          </w:tcPr>
          <w:p>
            <w:pPr>
              <w:pStyle w:val="TableText"/>
              <w:spacing w:before="235" w:line="219" w:lineRule="auto"/>
              <w:rPr>
                <w:rFonts w:eastAsia="宋体" w:hint="default"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4"/>
                <w:sz w:val="24"/>
                <w:szCs w:val="24"/>
                <w:lang w:val="en-US" w:eastAsia="zh-CN"/>
              </w:rPr>
              <w:t>过程框架自评估次数</w:t>
            </w:r>
          </w:p>
        </w:tc>
        <w:tc>
          <w:tcPr>
            <w:tcW w:w="875" w:type="dxa"/>
            <w:shd w:val="clear" w:color="auto" w:fill="auto"/>
          </w:tcPr>
          <w:p>
            <w:pPr>
              <w:pStyle w:val="TableText"/>
              <w:spacing w:before="235" w:line="237" w:lineRule="auto"/>
              <w:ind w:left="168" w:leftChars="0"/>
              <w:rPr>
                <w:rFonts w:eastAsia="宋体" w:hint="eastAsia"/>
                <w:spacing w:val="-9"/>
                <w:sz w:val="24"/>
                <w:szCs w:val="24"/>
                <w:lang w:val="en-US" w:eastAsia="zh-CN"/>
              </w:rPr>
            </w:pPr>
            <w:r>
              <w:rPr>
                <w:spacing w:val="-9"/>
                <w:sz w:val="24"/>
                <w:szCs w:val="24"/>
              </w:rPr>
              <w:t>≥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767" w:type="dxa"/>
            <w:shd w:val="clear" w:color="auto" w:fill="auto"/>
          </w:tcPr>
          <w:p>
            <w:pPr>
              <w:pStyle w:val="TableText"/>
              <w:spacing w:before="235" w:line="218" w:lineRule="auto"/>
              <w:ind w:left="162" w:leftChars="0"/>
              <w:rPr>
                <w:rFonts w:eastAsia="宋体" w:hint="eastAsia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1次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5" w:line="237" w:lineRule="auto"/>
              <w:ind w:left="425" w:hanging="425" w:lef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/>
            <w:shd w:val="clear" w:color="auto" w:fill="auto"/>
            <w:textDirection w:val="tbRlV"/>
          </w:tcPr>
          <w:p>
            <w:pPr>
              <w:rPr>
                <w:lang w:val="en-US" w:eastAsia="en-US"/>
              </w:rPr>
            </w:pPr>
          </w:p>
        </w:tc>
        <w:tc>
          <w:tcPr>
            <w:tcW w:w="1929" w:type="dxa"/>
            <w:shd w:val="clear" w:color="auto" w:fill="auto"/>
          </w:tcPr>
          <w:p>
            <w:pPr>
              <w:pStyle w:val="TableText"/>
              <w:spacing w:before="235" w:line="219" w:lineRule="auto"/>
              <w:ind w:left="39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SLA</w:t>
            </w:r>
            <w:r>
              <w:rPr>
                <w:spacing w:val="-41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达成率</w:t>
            </w:r>
          </w:p>
        </w:tc>
        <w:tc>
          <w:tcPr>
            <w:tcW w:w="875" w:type="dxa"/>
            <w:shd w:val="clear" w:color="auto" w:fill="auto"/>
          </w:tcPr>
          <w:p>
            <w:pPr>
              <w:pStyle w:val="TableText"/>
              <w:spacing w:before="235" w:line="237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  <w:shd w:val="clear" w:color="auto" w:fill="auto"/>
          </w:tcPr>
          <w:p>
            <w:pPr>
              <w:pStyle w:val="TableText"/>
              <w:spacing w:before="235" w:line="218" w:lineRule="auto"/>
              <w:ind w:left="162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8" w:line="237" w:lineRule="auto"/>
              <w:ind w:left="425" w:hanging="425" w:lef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</w:tcPr>
          <w:p>
            <w:pPr>
              <w:pStyle w:val="TableText"/>
              <w:spacing w:before="81" w:line="239" w:lineRule="auto"/>
              <w:ind w:left="739" w:right="126" w:hanging="606" w:leftChars="0" w:righ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  <w:sz w:val="24"/>
                <w:szCs w:val="24"/>
              </w:rPr>
              <w:t>服务报告及时提</w:t>
            </w:r>
            <w:r>
              <w:rPr>
                <w:spacing w:val="-6"/>
                <w:sz w:val="24"/>
                <w:szCs w:val="24"/>
              </w:rPr>
              <w:t>交率</w:t>
            </w:r>
          </w:p>
        </w:tc>
        <w:tc>
          <w:tcPr>
            <w:tcW w:w="875" w:type="dxa"/>
            <w:shd w:val="clear" w:color="auto" w:fill="auto"/>
          </w:tcPr>
          <w:p>
            <w:pPr>
              <w:pStyle w:val="TableText"/>
              <w:spacing w:before="238" w:line="237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  <w:shd w:val="clear" w:color="auto" w:fill="auto"/>
          </w:tcPr>
          <w:p>
            <w:pPr>
              <w:pStyle w:val="TableText"/>
              <w:spacing w:before="237" w:line="219" w:lineRule="auto"/>
              <w:ind w:left="161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0" w:line="237" w:lineRule="auto"/>
              <w:ind w:left="425" w:hanging="425" w:lef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/>
            <w:shd w:val="clear" w:color="auto" w:fill="auto"/>
          </w:tcPr>
          <w:p>
            <w:pPr>
              <w:rPr>
                <w:rFonts w:ascii="Arial" w:eastAsia="宋体" w:hAnsi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929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33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  <w:sz w:val="24"/>
                <w:szCs w:val="24"/>
              </w:rPr>
              <w:t>事件及时响应率</w:t>
            </w:r>
          </w:p>
        </w:tc>
        <w:tc>
          <w:tcPr>
            <w:tcW w:w="875" w:type="dxa"/>
            <w:shd w:val="clear" w:color="auto" w:fill="auto"/>
          </w:tcPr>
          <w:p>
            <w:pPr>
              <w:pStyle w:val="TableText"/>
              <w:spacing w:before="230" w:line="237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767" w:type="dxa"/>
            <w:shd w:val="clear" w:color="auto" w:fill="auto"/>
          </w:tcPr>
          <w:p>
            <w:pPr>
              <w:pStyle w:val="TableText"/>
              <w:spacing w:before="230" w:line="219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7"/>
                <w:sz w:val="24"/>
                <w:szCs w:val="24"/>
              </w:rPr>
              <w:t>月度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0" w:line="237" w:lineRule="auto"/>
              <w:ind w:left="425" w:hanging="425" w:lef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</w:tcPr>
          <w:p>
            <w:pPr>
              <w:pStyle w:val="TableText"/>
              <w:spacing w:before="231" w:line="218" w:lineRule="auto"/>
              <w:ind w:left="373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  <w:sz w:val="24"/>
                <w:szCs w:val="24"/>
              </w:rPr>
              <w:t>事件解决率</w:t>
            </w:r>
          </w:p>
        </w:tc>
        <w:tc>
          <w:tcPr>
            <w:tcW w:w="875" w:type="dxa"/>
            <w:shd w:val="clear" w:color="auto" w:fill="auto"/>
          </w:tcPr>
          <w:p>
            <w:pPr>
              <w:pStyle w:val="TableText"/>
              <w:spacing w:before="230" w:line="237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767" w:type="dxa"/>
            <w:shd w:val="clear" w:color="auto" w:fill="auto"/>
          </w:tcPr>
          <w:p>
            <w:pPr>
              <w:pStyle w:val="TableText"/>
              <w:spacing w:before="230" w:line="219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7"/>
                <w:sz w:val="24"/>
                <w:szCs w:val="24"/>
              </w:rPr>
              <w:t>月度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9" w:lineRule="auto"/>
              <w:ind w:left="168" w:leftChars="0"/>
              <w:rPr>
                <w:spacing w:val="-7"/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5</w:t>
            </w:r>
            <w:r>
              <w:rPr>
                <w:spacing w:val="-9"/>
                <w:sz w:val="24"/>
                <w:szCs w:val="24"/>
              </w:rPr>
              <w:t>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9" w:lineRule="auto"/>
              <w:ind w:left="168" w:leftChars="0"/>
              <w:rPr>
                <w:spacing w:val="-7"/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5</w:t>
            </w:r>
            <w:r>
              <w:rPr>
                <w:spacing w:val="-9"/>
                <w:sz w:val="24"/>
                <w:szCs w:val="24"/>
              </w:rPr>
              <w:t>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9" w:lineRule="auto"/>
              <w:ind w:left="168" w:leftChars="0"/>
              <w:rPr>
                <w:spacing w:val="-7"/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5</w:t>
            </w:r>
            <w:r>
              <w:rPr>
                <w:spacing w:val="-9"/>
                <w:sz w:val="24"/>
                <w:szCs w:val="24"/>
              </w:rPr>
              <w:t>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9" w:lineRule="auto"/>
              <w:ind w:left="168" w:leftChars="0"/>
              <w:rPr>
                <w:spacing w:val="-7"/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7</w:t>
            </w:r>
            <w:r>
              <w:rPr>
                <w:spacing w:val="-9"/>
                <w:sz w:val="24"/>
                <w:szCs w:val="24"/>
              </w:rPr>
              <w:t>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9" w:lineRule="auto"/>
              <w:ind w:left="168" w:leftChars="0"/>
              <w:rPr>
                <w:spacing w:val="-7"/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7</w:t>
            </w:r>
            <w:r>
              <w:rPr>
                <w:spacing w:val="-9"/>
                <w:sz w:val="24"/>
                <w:szCs w:val="24"/>
              </w:rPr>
              <w:t>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9" w:lineRule="auto"/>
              <w:ind w:left="168" w:leftChars="0"/>
              <w:rPr>
                <w:spacing w:val="-7"/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7</w:t>
            </w:r>
            <w:r>
              <w:rPr>
                <w:spacing w:val="-9"/>
                <w:sz w:val="24"/>
                <w:szCs w:val="24"/>
              </w:rPr>
              <w:t>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9" w:lineRule="auto"/>
              <w:ind w:left="168" w:leftChars="0"/>
              <w:rPr>
                <w:spacing w:val="-7"/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5</w:t>
            </w:r>
            <w:r>
              <w:rPr>
                <w:spacing w:val="-9"/>
                <w:sz w:val="24"/>
                <w:szCs w:val="24"/>
              </w:rPr>
              <w:t>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spacing w:val="-7"/>
                <w:sz w:val="24"/>
                <w:szCs w:val="24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spacing w:val="-7"/>
                <w:sz w:val="24"/>
                <w:szCs w:val="24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spacing w:val="-7"/>
                <w:sz w:val="24"/>
                <w:szCs w:val="24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1" w:line="237" w:lineRule="auto"/>
              <w:ind w:left="425" w:hanging="425" w:lef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</w:tcPr>
          <w:p>
            <w:pPr>
              <w:pStyle w:val="TableText"/>
              <w:spacing w:before="231" w:line="218" w:lineRule="auto"/>
              <w:ind w:left="39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7"/>
                <w:sz w:val="24"/>
                <w:szCs w:val="24"/>
              </w:rPr>
              <w:t>问题解决率</w:t>
            </w:r>
          </w:p>
        </w:tc>
        <w:tc>
          <w:tcPr>
            <w:tcW w:w="875" w:type="dxa"/>
            <w:shd w:val="clear" w:color="auto" w:fill="auto"/>
          </w:tcPr>
          <w:p>
            <w:pPr>
              <w:pStyle w:val="TableText"/>
              <w:spacing w:before="231" w:line="237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767" w:type="dxa"/>
            <w:shd w:val="clear" w:color="auto" w:fill="auto"/>
          </w:tcPr>
          <w:p>
            <w:pPr>
              <w:pStyle w:val="TableText"/>
              <w:spacing w:before="231" w:line="219" w:lineRule="auto"/>
              <w:ind w:left="161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4" w:line="238" w:lineRule="auto"/>
              <w:ind w:left="425" w:hanging="425" w:lef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</w:tcPr>
          <w:p>
            <w:pPr>
              <w:pStyle w:val="TableText"/>
              <w:spacing w:before="234" w:line="219" w:lineRule="auto"/>
              <w:ind w:left="381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变更成功率</w:t>
            </w:r>
          </w:p>
        </w:tc>
        <w:tc>
          <w:tcPr>
            <w:tcW w:w="875" w:type="dxa"/>
            <w:shd w:val="clear" w:color="auto" w:fill="auto"/>
          </w:tcPr>
          <w:p>
            <w:pPr>
              <w:pStyle w:val="TableText"/>
              <w:spacing w:before="234" w:line="237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767" w:type="dxa"/>
            <w:shd w:val="clear" w:color="auto" w:fill="auto"/>
          </w:tcPr>
          <w:p>
            <w:pPr>
              <w:pStyle w:val="TableText"/>
              <w:spacing w:before="234" w:line="219" w:lineRule="auto"/>
              <w:ind w:left="161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3" w:line="238" w:lineRule="auto"/>
              <w:ind w:left="425" w:hanging="425" w:lef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</w:tcPr>
          <w:p>
            <w:pPr>
              <w:pStyle w:val="TableText"/>
              <w:spacing w:before="233" w:line="216" w:lineRule="auto"/>
              <w:ind w:left="380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发布成功率</w:t>
            </w:r>
          </w:p>
        </w:tc>
        <w:tc>
          <w:tcPr>
            <w:tcW w:w="875" w:type="dxa"/>
            <w:shd w:val="clear" w:color="auto" w:fill="auto"/>
          </w:tcPr>
          <w:p>
            <w:pPr>
              <w:pStyle w:val="TableText"/>
              <w:spacing w:before="233" w:line="237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767" w:type="dxa"/>
            <w:shd w:val="clear" w:color="auto" w:fill="auto"/>
          </w:tcPr>
          <w:p>
            <w:pPr>
              <w:pStyle w:val="TableText"/>
              <w:spacing w:before="233" w:line="219" w:lineRule="auto"/>
              <w:ind w:left="161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4" w:line="237" w:lineRule="auto"/>
              <w:ind w:left="425" w:hanging="425" w:leftChars="0" w:firstLine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</w:tcPr>
          <w:p>
            <w:pPr>
              <w:pStyle w:val="TableText"/>
              <w:spacing w:before="234" w:line="218" w:lineRule="auto"/>
              <w:ind w:left="137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  <w:sz w:val="24"/>
                <w:szCs w:val="24"/>
              </w:rPr>
              <w:t>配置管理准确率</w:t>
            </w:r>
          </w:p>
        </w:tc>
        <w:tc>
          <w:tcPr>
            <w:tcW w:w="875" w:type="dxa"/>
            <w:shd w:val="clear" w:color="auto" w:fill="auto"/>
          </w:tcPr>
          <w:p>
            <w:pPr>
              <w:pStyle w:val="TableText"/>
              <w:spacing w:before="234" w:line="237" w:lineRule="auto"/>
              <w:ind w:left="16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  <w:shd w:val="clear" w:color="auto" w:fill="auto"/>
          </w:tcPr>
          <w:p>
            <w:pPr>
              <w:pStyle w:val="TableText"/>
              <w:spacing w:before="233" w:line="217" w:lineRule="auto"/>
              <w:ind w:left="158" w:leftChars="0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半年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4" w:line="237" w:lineRule="auto"/>
              <w:ind w:left="425" w:hanging="425" w:leftChars="0" w:firstLineChars="0"/>
              <w:rPr>
                <w:rFonts w:eastAsia="宋体" w:hint="default"/>
                <w:spacing w:val="-3"/>
                <w:sz w:val="24"/>
                <w:szCs w:val="24"/>
                <w:lang w:val="en-US" w:eastAsia="zh-CN"/>
              </w:rPr>
            </w:pPr>
          </w:p>
        </w:tc>
        <w:tc>
          <w:tcPr>
            <w:tcW w:w="583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</w:tcPr>
          <w:p>
            <w:pPr>
              <w:pStyle w:val="TableText"/>
              <w:spacing w:before="234" w:line="218" w:lineRule="auto"/>
              <w:ind w:left="137" w:leftChars="0"/>
              <w:rPr>
                <w:rFonts w:eastAsia="宋体" w:hint="default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服务可用性</w:t>
            </w:r>
          </w:p>
        </w:tc>
        <w:tc>
          <w:tcPr>
            <w:tcW w:w="875" w:type="dxa"/>
            <w:shd w:val="clear" w:color="auto" w:fill="auto"/>
          </w:tcPr>
          <w:p>
            <w:pPr>
              <w:pStyle w:val="TableText"/>
              <w:spacing w:before="234" w:line="237" w:lineRule="auto"/>
              <w:ind w:left="168" w:leftChars="0"/>
              <w:rPr>
                <w:rFonts w:eastAsia="宋体" w:hint="default"/>
                <w:spacing w:val="-9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99%</w:t>
            </w:r>
          </w:p>
        </w:tc>
        <w:tc>
          <w:tcPr>
            <w:tcW w:w="767" w:type="dxa"/>
            <w:shd w:val="clear" w:color="auto" w:fill="auto"/>
          </w:tcPr>
          <w:p>
            <w:pPr>
              <w:pStyle w:val="TableText"/>
              <w:spacing w:before="233" w:line="217" w:lineRule="auto"/>
              <w:ind w:left="158" w:leftChars="0"/>
              <w:rPr>
                <w:rFonts w:eastAsia="宋体" w:hint="default"/>
                <w:spacing w:val="-5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4" w:line="237" w:lineRule="auto"/>
              <w:ind w:left="425" w:hanging="425" w:leftChars="0" w:firstLineChars="0"/>
              <w:rPr>
                <w:rFonts w:hint="eastAsia"/>
                <w:spacing w:val="-3"/>
                <w:sz w:val="24"/>
                <w:szCs w:val="24"/>
                <w:lang w:val="en-US" w:eastAsia="zh-CN"/>
              </w:rPr>
            </w:pPr>
          </w:p>
        </w:tc>
        <w:tc>
          <w:tcPr>
            <w:tcW w:w="583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</w:tcPr>
          <w:p>
            <w:pPr>
              <w:pStyle w:val="TableText"/>
              <w:spacing w:before="234" w:line="218" w:lineRule="auto"/>
              <w:ind w:left="137" w:leftChars="0"/>
              <w:rPr>
                <w:rFonts w:ascii="宋体" w:eastAsia="宋体" w:hAnsi="宋体" w:cs="宋体" w:hint="default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服务中断次数</w:t>
            </w:r>
          </w:p>
        </w:tc>
        <w:tc>
          <w:tcPr>
            <w:tcW w:w="875" w:type="dxa"/>
            <w:shd w:val="clear" w:color="auto" w:fill="auto"/>
          </w:tcPr>
          <w:p>
            <w:pPr>
              <w:pStyle w:val="TableText"/>
              <w:spacing w:before="234" w:line="237" w:lineRule="auto"/>
              <w:ind w:left="168" w:leftChars="0"/>
              <w:rPr>
                <w:rFonts w:ascii="宋体" w:eastAsia="宋体" w:hAnsi="宋体" w:cs="宋体" w:hint="eastAsia"/>
                <w:snapToGrid w:val="0"/>
                <w:color w:val="000000"/>
                <w:spacing w:val="-9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≤2</w:t>
            </w:r>
          </w:p>
        </w:tc>
        <w:tc>
          <w:tcPr>
            <w:tcW w:w="767" w:type="dxa"/>
            <w:shd w:val="clear" w:color="auto" w:fill="auto"/>
          </w:tcPr>
          <w:p>
            <w:pPr>
              <w:pStyle w:val="TableText"/>
              <w:spacing w:before="233" w:line="217" w:lineRule="auto"/>
              <w:ind w:left="158" w:leftChars="0"/>
              <w:rPr>
                <w:rFonts w:ascii="宋体" w:eastAsia="宋体" w:hAnsi="宋体" w:cs="宋体" w:hint="eastAsia"/>
                <w:snapToGrid w:val="0"/>
                <w:color w:val="000000"/>
                <w:spacing w:val="-5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0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234" w:line="237" w:lineRule="auto"/>
              <w:ind w:left="425" w:hanging="425" w:leftChars="0" w:firstLineChars="0"/>
              <w:rPr>
                <w:rFonts w:hint="eastAsia"/>
                <w:spacing w:val="-3"/>
                <w:sz w:val="24"/>
                <w:szCs w:val="24"/>
                <w:lang w:val="en-US" w:eastAsia="zh-CN"/>
              </w:rPr>
            </w:pPr>
          </w:p>
        </w:tc>
        <w:tc>
          <w:tcPr>
            <w:tcW w:w="583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</w:tcPr>
          <w:p>
            <w:pPr>
              <w:pStyle w:val="TableText"/>
              <w:spacing w:before="234" w:line="218" w:lineRule="auto"/>
              <w:ind w:left="137" w:leftChars="0"/>
              <w:rPr>
                <w:rFonts w:ascii="宋体" w:eastAsia="宋体" w:hAnsi="宋体" w:cs="宋体" w:hint="eastAsia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容量事故次数</w:t>
            </w:r>
          </w:p>
        </w:tc>
        <w:tc>
          <w:tcPr>
            <w:tcW w:w="875" w:type="dxa"/>
            <w:shd w:val="clear" w:color="auto" w:fill="auto"/>
          </w:tcPr>
          <w:p>
            <w:pPr>
              <w:pStyle w:val="TableText"/>
              <w:spacing w:before="234" w:line="237" w:lineRule="auto"/>
              <w:ind w:left="168" w:leftChars="0"/>
              <w:rPr>
                <w:rFonts w:ascii="宋体" w:eastAsia="宋体" w:hAnsi="宋体" w:cs="宋体" w:hint="eastAsia"/>
                <w:snapToGrid w:val="0"/>
                <w:color w:val="000000"/>
                <w:spacing w:val="-9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≤1</w:t>
            </w:r>
          </w:p>
        </w:tc>
        <w:tc>
          <w:tcPr>
            <w:tcW w:w="767" w:type="dxa"/>
            <w:shd w:val="clear" w:color="auto" w:fill="auto"/>
          </w:tcPr>
          <w:p>
            <w:pPr>
              <w:pStyle w:val="TableText"/>
              <w:spacing w:before="233" w:line="217" w:lineRule="auto"/>
              <w:ind w:left="158" w:leftChars="0"/>
              <w:rPr>
                <w:rFonts w:ascii="宋体" w:eastAsia="宋体" w:hAnsi="宋体" w:cs="宋体" w:hint="eastAsia"/>
                <w:snapToGrid w:val="0"/>
                <w:color w:val="000000"/>
                <w:spacing w:val="-5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季度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197" w:line="237" w:lineRule="auto"/>
              <w:ind w:left="425" w:hanging="425" w:leftChars="0" w:firstLineChars="0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583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</w:tcPr>
          <w:p>
            <w:pPr>
              <w:pStyle w:val="a1"/>
              <w:bidi w:val="0"/>
              <w:ind w:left="0" w:firstLine="0" w:leftChars="0" w:firstLineChars="0"/>
              <w:rPr>
                <w:rFonts w:ascii="Arial" w:eastAsia="宋体" w:hAnsi="Arial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t>信息安全事件数量</w:t>
            </w:r>
          </w:p>
        </w:tc>
        <w:tc>
          <w:tcPr>
            <w:tcW w:w="875" w:type="dxa"/>
            <w:shd w:val="clear" w:color="auto" w:fill="auto"/>
          </w:tcPr>
          <w:p>
            <w:pPr>
              <w:pStyle w:val="a1"/>
              <w:bidi w:val="0"/>
              <w:ind w:left="0" w:right="0" w:firstLine="0" w:leftChars="0" w:rightChars="0" w:firstLineChars="0"/>
              <w:jc w:val="center"/>
              <w:rPr>
                <w:rFonts w:ascii="Arial" w:eastAsia="宋体" w:hAnsi="Arial" w:cs="Arial" w:hint="default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0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次</w:t>
            </w:r>
          </w:p>
        </w:tc>
        <w:tc>
          <w:tcPr>
            <w:tcW w:w="767" w:type="dxa"/>
            <w:shd w:val="clear" w:color="auto" w:fill="auto"/>
          </w:tcPr>
          <w:p>
            <w:pPr>
              <w:pStyle w:val="a1"/>
              <w:bidi w:val="0"/>
              <w:ind w:left="0" w:firstLine="0" w:leftChars="0" w:firstLineChars="0"/>
              <w:rPr>
                <w:rFonts w:ascii="Arial" w:eastAsia="宋体" w:hAnsi="Arial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t>年度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0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197" w:line="237" w:lineRule="auto"/>
              <w:ind w:left="425" w:hanging="425" w:leftChars="0" w:firstLineChars="0"/>
              <w:rPr>
                <w:spacing w:val="-3"/>
                <w:sz w:val="24"/>
                <w:szCs w:val="24"/>
              </w:rPr>
            </w:pPr>
          </w:p>
        </w:tc>
        <w:tc>
          <w:tcPr>
            <w:tcW w:w="583" w:type="dxa"/>
          </w:tcPr>
          <w:p>
            <w:pPr>
              <w:rPr>
                <w:rFonts w:ascii="Arial"/>
                <w:sz w:val="21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交付</w:t>
            </w:r>
            <w:r>
              <w:rPr>
                <w:rFonts w:ascii="宋体" w:eastAsia="宋体" w:hAnsi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管理</w:t>
            </w:r>
          </w:p>
        </w:tc>
        <w:tc>
          <w:tcPr>
            <w:tcW w:w="1929" w:type="dxa"/>
            <w:shd w:val="clear" w:color="auto" w:fill="auto"/>
          </w:tcPr>
          <w:p>
            <w:pPr>
              <w:pStyle w:val="a1"/>
              <w:bidi w:val="0"/>
              <w:ind w:left="0" w:firstLine="0" w:leftChars="0" w:firstLineChars="0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服务报告比例</w:t>
            </w:r>
          </w:p>
        </w:tc>
        <w:tc>
          <w:tcPr>
            <w:tcW w:w="875" w:type="dxa"/>
            <w:shd w:val="clear" w:color="auto" w:fill="auto"/>
          </w:tcPr>
          <w:p>
            <w:pPr>
              <w:pStyle w:val="a1"/>
              <w:bidi w:val="0"/>
              <w:ind w:left="0" w:right="0" w:firstLine="0" w:leftChars="0" w:rightChars="0" w:firstLineChars="0"/>
              <w:jc w:val="both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95%</w:t>
            </w:r>
          </w:p>
        </w:tc>
        <w:tc>
          <w:tcPr>
            <w:tcW w:w="767" w:type="dxa"/>
            <w:shd w:val="clear" w:color="auto" w:fill="auto"/>
          </w:tcPr>
          <w:p>
            <w:pPr>
              <w:pStyle w:val="a1"/>
              <w:bidi w:val="0"/>
              <w:ind w:left="0" w:firstLine="0" w:leftChars="0" w:firstLineChars="0"/>
              <w:rPr>
                <w:rFonts w:eastAsia="宋体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月度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/>
        </w:trPr>
        <w:tc>
          <w:tcPr>
            <w:tcW w:w="494" w:type="dxa"/>
            <w:shd w:val="clear" w:color="auto" w:fill="auto"/>
          </w:tcPr>
          <w:p>
            <w:pPr>
              <w:pStyle w:val="TableText"/>
              <w:numPr>
                <w:ilvl w:val="0"/>
                <w:numId w:val="2"/>
              </w:numPr>
              <w:spacing w:before="197" w:line="237" w:lineRule="auto"/>
              <w:ind w:left="425" w:hanging="425" w:leftChars="0" w:firstLineChars="0"/>
              <w:rPr>
                <w:spacing w:val="-3"/>
                <w:sz w:val="24"/>
                <w:szCs w:val="24"/>
              </w:rPr>
            </w:pPr>
          </w:p>
        </w:tc>
        <w:tc>
          <w:tcPr>
            <w:tcW w:w="583" w:type="dxa"/>
          </w:tcPr>
          <w:p>
            <w:pPr>
              <w:rPr>
                <w:rFonts w:ascii="Arial"/>
                <w:sz w:val="21"/>
              </w:rPr>
            </w:pPr>
            <w:r>
              <w:rPr>
                <w:rFonts w:ascii="宋体" w:hAnsi="宋体" w:cs="宋体" w:hint="eastAsia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应急</w:t>
            </w:r>
            <w:r>
              <w:rPr>
                <w:rFonts w:ascii="宋体" w:eastAsia="宋体" w:hAnsi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管理</w:t>
            </w:r>
          </w:p>
        </w:tc>
        <w:tc>
          <w:tcPr>
            <w:tcW w:w="1929" w:type="dxa"/>
            <w:shd w:val="clear" w:color="auto" w:fill="auto"/>
          </w:tcPr>
          <w:p>
            <w:pPr>
              <w:pStyle w:val="a1"/>
              <w:bidi w:val="0"/>
              <w:ind w:left="0" w:firstLine="0" w:leftChars="0" w:firstLineChars="0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应急演练次数</w:t>
            </w:r>
          </w:p>
        </w:tc>
        <w:tc>
          <w:tcPr>
            <w:tcW w:w="875" w:type="dxa"/>
            <w:shd w:val="clear" w:color="auto" w:fill="auto"/>
          </w:tcPr>
          <w:p>
            <w:pPr>
              <w:pStyle w:val="a1"/>
              <w:bidi w:val="0"/>
              <w:ind w:left="0" w:right="0" w:firstLine="0" w:leftChars="0" w:rightChars="0" w:firstLineChars="0"/>
              <w:jc w:val="both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≥1次</w:t>
            </w:r>
          </w:p>
        </w:tc>
        <w:tc>
          <w:tcPr>
            <w:tcW w:w="767" w:type="dxa"/>
            <w:shd w:val="clear" w:color="auto" w:fill="auto"/>
          </w:tcPr>
          <w:p>
            <w:pPr>
              <w:pStyle w:val="a1"/>
              <w:bidi w:val="0"/>
              <w:ind w:left="0" w:firstLine="0" w:leftChars="0" w:firstLineChars="0"/>
              <w:rPr>
                <w:rFonts w:eastAsia="宋体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5" w:type="dxa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ascii="宋体" w:eastAsia="宋体" w:hAnsi="宋体"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1次</w:t>
            </w:r>
          </w:p>
        </w:tc>
      </w:tr>
      <w:tr>
        <w:tblPrEx>
          <w:tblW w:w="13962" w:type="dxa"/>
          <w:tblInd w:w="3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0"/>
        </w:trPr>
        <w:tc>
          <w:tcPr>
            <w:tcW w:w="13962" w:type="dxa"/>
            <w:gridSpan w:val="15"/>
            <w:shd w:val="clear" w:color="auto" w:fill="auto"/>
          </w:tcPr>
          <w:p>
            <w:pPr>
              <w:pStyle w:val="TableText"/>
              <w:spacing w:before="230" w:line="218" w:lineRule="auto"/>
              <w:ind w:left="162" w:leftChars="0"/>
              <w:rPr>
                <w:rFonts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说明：经过KPI指标跟踪发现，第一、二季度软件入库合格率为95%和97%，不满足软件入库合格率≥98%的指标要求</w:t>
            </w:r>
          </w:p>
          <w:p>
            <w:pPr>
              <w:pStyle w:val="TableText"/>
              <w:spacing w:before="230" w:line="218" w:lineRule="auto"/>
              <w:ind w:left="162" w:leftChars="0"/>
              <w:rPr>
                <w:rFonts w:cs="宋体" w:hint="default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针对以上现象，人力资源部组织运维相关部门学习最终软件库管理制度，计划于2025年12月底前完成</w:t>
            </w:r>
          </w:p>
        </w:tc>
      </w:tr>
    </w:tbl>
    <w:p>
      <w:pPr>
        <w:pStyle w:val="a1"/>
        <w:bidi w:val="0"/>
        <w:ind w:left="0" w:right="0" w:firstLine="0" w:leftChars="0" w:rightChars="0" w:firstLineChars="0"/>
        <w:jc w:val="center"/>
        <w:rPr>
          <w:rFonts w:hint="default"/>
          <w:lang w:val="en-US" w:eastAsia="zh-CN"/>
        </w:rPr>
      </w:pPr>
      <w:bookmarkStart w:id="3" w:name="_GoBack"/>
      <w:bookmarkEnd w:id="3"/>
    </w:p>
    <w:sectPr>
      <w:pgSz w:w="16838" w:h="11906" w:orient="landscape"/>
      <w:pgMar w:top="1800" w:right="1417" w:bottom="1800" w:left="144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jc w:val="right"/>
      <w:rPr>
        <w:rFonts w:eastAsiaTheme="minorEastAsia"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5EC2617"/>
    <w:multiLevelType w:val="singleLevel"/>
    <w:tmpl w:val="A5EC261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eastAsia="Arial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Normal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890</Words>
  <Characters>1211</Characters>
  <Application>Microsoft Office Word</Application>
  <DocSecurity>0</DocSecurity>
  <Lines>0</Lines>
  <Paragraphs>0</Paragraphs>
  <ScaleCrop>false</ScaleCrop>
  <Company/>
  <LinksUpToDate>false</LinksUpToDate>
  <CharactersWithSpaces>1218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2025-12-26T03:04:59Z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