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849"/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21111"/>
      <w:r>
        <w:rPr>
          <w:rFonts w:hint="eastAsia"/>
          <w:lang w:val="en-US" w:eastAsia="zh-CN"/>
        </w:rPr>
        <w:t>纠正与预防措施控制程序</w:t>
      </w:r>
      <w:bookmarkEnd w:id="1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9942"/>
      <w:r>
        <w:rPr>
          <w:rFonts w:hint="eastAsia"/>
          <w:lang w:val="en-US" w:eastAsia="zh-CN"/>
        </w:rPr>
        <w:t>（HXDL-ITSS-0408）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刘鑫楠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eastAsia="宋体" w:hAnsi="宋体" w:cs="宋体"/>
          <w:sz w:val="30"/>
          <w:szCs w:val="30"/>
        </w:rPr>
      </w:pPr>
      <w:bookmarkStart w:id="3" w:name="_Toc27301"/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spacing w:val="-4"/>
              </w:rPr>
              <w:t>刘鑫楠</w:t>
            </w: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1661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_Toc2849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_Toc2849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_Toc21111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纠正与预防措施控制程序</w:t>
          </w:r>
          <w:r>
            <w:tab/>
          </w:r>
          <w:r>
            <w:fldChar w:fldCharType="begin"/>
          </w:r>
          <w:r>
            <w:instrText xml:space="preserve"> PAGEREF _Toc21111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_Toc29942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（HXDL-ITSS-0408）</w:t>
          </w:r>
          <w:r>
            <w:tab/>
          </w:r>
          <w:r>
            <w:fldChar w:fldCharType="begin"/>
          </w:r>
          <w:r>
            <w:instrText xml:space="preserve"> PAGEREF _Toc29942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_Toc27301 </w:instrText>
          </w:r>
          <w:r>
            <w:fldChar w:fldCharType="separate"/>
          </w:r>
          <w:r>
            <w:rPr>
              <w:rFonts w:ascii="宋体" w:eastAsia="宋体" w:hAnsi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_Toc27301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_Toc24073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_Toc696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_Toc25479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职责</w:t>
          </w:r>
          <w:r>
            <w:tab/>
          </w:r>
          <w:r>
            <w:fldChar w:fldCharType="begin"/>
          </w:r>
          <w:r>
            <w:instrText xml:space="preserve"> PAGEREF _Toc25479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_Toc12854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_Toc12854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_Toc6594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其他运维相关</w:t>
          </w:r>
          <w:r>
            <w:rPr>
              <w:rFonts w:hint="default"/>
              <w:lang w:val="en-US" w:eastAsia="zh-CN"/>
            </w:rPr>
            <w:t>部门</w:t>
          </w:r>
          <w:r>
            <w:tab/>
          </w:r>
          <w:r>
            <w:fldChar w:fldCharType="begin"/>
          </w:r>
          <w:r>
            <w:instrText xml:space="preserve"> PAGEREF _Toc6594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_Toc13188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管理者代表</w:t>
          </w:r>
          <w:r>
            <w:tab/>
          </w:r>
          <w:r>
            <w:fldChar w:fldCharType="begin"/>
          </w:r>
          <w:r>
            <w:instrText xml:space="preserve"> PAGEREF _Toc13188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控制要求</w:t>
          </w:r>
          <w:r>
            <w:tab/>
          </w:r>
          <w:r>
            <w:fldChar w:fldCharType="begin"/>
          </w:r>
          <w:r>
            <w:instrText xml:space="preserve"> PAGEREF _Toc21376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纠正措施</w:t>
          </w:r>
          <w:r>
            <w:tab/>
          </w:r>
          <w:r>
            <w:fldChar w:fldCharType="begin"/>
          </w:r>
          <w:r>
            <w:instrText xml:space="preserve"> PAGEREF _Toc20598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_Toc5312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4.1.1. 总则</w:t>
          </w:r>
          <w:r>
            <w:tab/>
          </w:r>
          <w:r>
            <w:fldChar w:fldCharType="begin"/>
          </w:r>
          <w:r>
            <w:instrText xml:space="preserve"> PAGEREF _Toc5312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_Toc24717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4.1.2. 识别不合格</w:t>
          </w:r>
          <w:r>
            <w:tab/>
          </w:r>
          <w:r>
            <w:fldChar w:fldCharType="begin"/>
          </w:r>
          <w:r>
            <w:instrText xml:space="preserve"> PAGEREF _Toc24717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4.1.3. 原因分析、措施制定、实施与验证</w:t>
          </w:r>
          <w:r>
            <w:tab/>
          </w:r>
          <w:r>
            <w:fldChar w:fldCharType="begin"/>
          </w:r>
          <w:r>
            <w:instrText xml:space="preserve"> PAGEREF _Toc5273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_Toc19915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4.1.4. 评审所采取的纠正措施</w:t>
          </w:r>
          <w:r>
            <w:tab/>
          </w:r>
          <w:r>
            <w:fldChar w:fldCharType="begin"/>
          </w:r>
          <w:r>
            <w:instrText xml:space="preserve"> PAGEREF _Toc19915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_Toc3873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预防措施</w:t>
          </w:r>
          <w:r>
            <w:tab/>
          </w:r>
          <w:r>
            <w:fldChar w:fldCharType="begin"/>
          </w:r>
          <w:r>
            <w:instrText xml:space="preserve"> PAGEREF _Toc3873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_Toc32139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4.2.1. 总则</w:t>
          </w:r>
          <w:r>
            <w:tab/>
          </w:r>
          <w:r>
            <w:fldChar w:fldCharType="begin"/>
          </w:r>
          <w:r>
            <w:instrText xml:space="preserve"> PAGEREF _Toc32139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4.2.2. 识别潜在不合格</w:t>
          </w:r>
          <w:r>
            <w:tab/>
          </w:r>
          <w:r>
            <w:fldChar w:fldCharType="begin"/>
          </w:r>
          <w:r>
            <w:instrText xml:space="preserve"> PAGEREF _Toc28542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_Toc9409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4.2.3. 措施制定、实施与验证</w:t>
          </w:r>
          <w:r>
            <w:tab/>
          </w:r>
          <w:r>
            <w:fldChar w:fldCharType="begin"/>
          </w:r>
          <w:r>
            <w:instrText xml:space="preserve"> PAGEREF _Toc9409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_Toc23440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4.2.4. 评审所采取的预防措施</w:t>
          </w:r>
          <w:r>
            <w:tab/>
          </w:r>
          <w:r>
            <w:fldChar w:fldCharType="begin"/>
          </w:r>
          <w:r>
            <w:instrText xml:space="preserve"> PAGEREF _Toc23440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纠正和预防措施状况</w:t>
          </w:r>
          <w:r>
            <w:tab/>
          </w:r>
          <w:r>
            <w:fldChar w:fldCharType="begin"/>
          </w:r>
          <w:r>
            <w:instrText xml:space="preserve"> PAGEREF _Toc2956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4.3.1. 资源与监督</w:t>
          </w:r>
          <w:r>
            <w:tab/>
          </w:r>
          <w:r>
            <w:fldChar w:fldCharType="begin"/>
          </w:r>
          <w:r>
            <w:instrText xml:space="preserve"> PAGEREF _Toc13778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_Toc8703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4.3.2. 记录与统计</w:t>
          </w:r>
          <w:r>
            <w:tab/>
          </w:r>
          <w:r>
            <w:fldChar w:fldCharType="begin"/>
          </w:r>
          <w:r>
            <w:instrText xml:space="preserve"> PAGEREF _Toc8703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4.3.3. 管理评审输入</w:t>
          </w:r>
          <w:r>
            <w:tab/>
          </w:r>
          <w:r>
            <w:fldChar w:fldCharType="begin"/>
          </w:r>
          <w:r>
            <w:instrText xml:space="preserve"> PAGEREF _Toc3945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相关记录</w:t>
          </w:r>
          <w:r>
            <w:tab/>
          </w:r>
          <w:r>
            <w:fldChar w:fldCharType="begin"/>
          </w:r>
          <w:r>
            <w:instrText xml:space="preserve"> PAGEREF _Toc6283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/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4073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采取措施，以消除不合格的原因，防止不合格的再发生；或确定措施，以消除潜在不合格的原因，防止不合格的发生。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696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适用于公司在质量管理中，对已发生的不合格采取纠正措施，或对潜在不合格所采取的预防措施。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5479"/>
      <w:r>
        <w:rPr>
          <w:rFonts w:hint="default"/>
          <w:lang w:val="en-US" w:eastAsia="zh-CN"/>
        </w:rPr>
        <w:t>职责</w:t>
      </w:r>
      <w:bookmarkEnd w:id="6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2854"/>
      <w:r>
        <w:rPr>
          <w:rFonts w:hint="eastAsia"/>
          <w:lang w:val="en-US" w:eastAsia="zh-CN"/>
        </w:rPr>
        <w:t>质量部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负责组织对管理体系纠正和预防措施实施情况的监督检查。负责组织在项目质量管理方面的纠正和预防措施的控制。当出现问题和存在潜在问题时要求制定相应的纠正和预防措施，并跟踪验证实施效果。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6594"/>
      <w:r>
        <w:rPr>
          <w:rFonts w:hint="eastAsia"/>
          <w:lang w:val="en-US" w:eastAsia="zh-CN"/>
        </w:rPr>
        <w:t>其他运维相关</w:t>
      </w:r>
      <w:r>
        <w:rPr>
          <w:rFonts w:hint="default"/>
          <w:lang w:val="en-US" w:eastAsia="zh-CN"/>
        </w:rPr>
        <w:t>部门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负责分管范围内相应的纠正和预防措施的控制和实施，并跟踪验证实施效果。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3188"/>
      <w:r>
        <w:rPr>
          <w:rFonts w:hint="default"/>
          <w:lang w:val="en-US" w:eastAsia="zh-CN"/>
        </w:rPr>
        <w:t>管理者代表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监督、协调纠正和预防措施的实施。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21376"/>
      <w:r>
        <w:rPr>
          <w:rFonts w:hint="default"/>
          <w:lang w:val="en-US" w:eastAsia="zh-CN"/>
        </w:rPr>
        <w:t>控制要求</w:t>
      </w:r>
      <w:bookmarkEnd w:id="10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0598"/>
      <w:r>
        <w:rPr>
          <w:rFonts w:hint="default"/>
          <w:lang w:val="en-US" w:eastAsia="zh-CN"/>
        </w:rPr>
        <w:t>纠正措施</w:t>
      </w:r>
      <w:bookmarkEnd w:id="11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5312"/>
      <w:r>
        <w:rPr>
          <w:rFonts w:hint="default"/>
          <w:lang w:val="en-US" w:eastAsia="zh-CN"/>
        </w:rPr>
        <w:t>总则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对于已存在的不合格应采取纠正措施，以消除不合格原因，防止不合格再发生，纠正措施应与所遇到的问题的影响程度相适应。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4717"/>
      <w:r>
        <w:rPr>
          <w:rFonts w:hint="default"/>
          <w:lang w:val="en-US" w:eastAsia="zh-CN"/>
        </w:rPr>
        <w:t>识别不合格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对质量管理各过程输出的信息进行识别：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（1）过程、运维服务质量出现重大问题，或超过公司规定值时；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（2）管理评审发现不符合时；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（3）顾客对运维服务质量投诉时；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（4）内部审核发现不合格时；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（5）供方产品或服务出现严重不合格；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（6）其他不符合管理方针、目标，或管理体系文件要求时。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5273"/>
      <w:r>
        <w:rPr>
          <w:rFonts w:hint="default"/>
          <w:lang w:val="en-US" w:eastAsia="zh-CN"/>
        </w:rPr>
        <w:t>原因分析、措施制定、实施与验证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可采用统计技术或试验的方法来确定主要原因。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（1）对过程、运维服务质量出现重大问题，或超过公司规定值时,管理评审发现不合格时,其他不符合管理目标或管理体系文件要求时，由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填写《纠正措施记录》中“不合格事实”栏，确定责任部门。由责任部门填写“原因分析”栏，制定纠正措施并实施</w:t>
      </w:r>
      <w:r>
        <w:rPr>
          <w:rFonts w:hint="eastAsia"/>
          <w:lang w:val="en-US" w:eastAsia="zh-CN"/>
        </w:rPr>
        <w:t>，质量部</w:t>
      </w:r>
      <w:r>
        <w:rPr>
          <w:rFonts w:hint="default"/>
          <w:lang w:val="en-US" w:eastAsia="zh-CN"/>
        </w:rPr>
        <w:t>跟踪验证实施效果；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（2）顾客对运维服务质量投诉时，由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填写《纠正措施记录》中“不合格事实”栏，由责任部门分析原因、制定纠正措施并实施，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跟踪验证实施效果，并及时转告顾客并取得顾客满意；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（3）对内审发现不合格时，由审核组发出“内审不符合报告”，执行《内部审核控制程序》。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9915"/>
      <w:r>
        <w:rPr>
          <w:rFonts w:hint="default"/>
          <w:lang w:val="en-US" w:eastAsia="zh-CN"/>
        </w:rPr>
        <w:t>评审所采取的纠正措施</w:t>
      </w:r>
      <w:bookmarkEnd w:id="15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每项纠正措施完成后。该部门负责人对实施效果的有效性进行评审，评审其是否防止类似不合格再发生，并在《纠正措施记录》上签字确认。监督部门对此进行跟踪验证；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当不合格原因是由于管理体系有关文件的不完善所致时，应对相关文件修改的必要性进行评审，并予以实施，执行关于文件更改的有关规定。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3873"/>
      <w:r>
        <w:rPr>
          <w:rFonts w:hint="default"/>
          <w:lang w:val="en-US" w:eastAsia="zh-CN"/>
        </w:rPr>
        <w:t>预防措施</w:t>
      </w:r>
      <w:bookmarkEnd w:id="16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32139"/>
      <w:r>
        <w:rPr>
          <w:rFonts w:hint="default"/>
          <w:lang w:val="en-US" w:eastAsia="zh-CN"/>
        </w:rPr>
        <w:t>总则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识别潜在不合格，并采取措施以消除潜在不合格的原因．防止不合格发生，所采取的预防措施应与潜在问题的影响程度相适应。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8542"/>
      <w:r>
        <w:rPr>
          <w:rFonts w:hint="default"/>
          <w:lang w:val="en-US" w:eastAsia="zh-CN"/>
        </w:rPr>
        <w:t>识别潜在不合格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各相关部门要及时重点分析如下记录：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产品质量统计、供方质量统计、市场分析、顾客满意程度调查与分析等；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以往的内审报告、管理评审报告；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纠正、预防、改进措施执行记录等。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通过记录，可以及时了解体系运行的有效性，过程、产品、质量趋势及顾客的要求和期望，并在日常对体系运作的检查和监督过程中，及时收集分析各方面的反馈信息。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9409"/>
      <w:r>
        <w:rPr>
          <w:rFonts w:hint="default"/>
          <w:lang w:val="en-US" w:eastAsia="zh-CN"/>
        </w:rPr>
        <w:t>措施制定、实施与验证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需要时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召集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、运维部</w:t>
      </w:r>
      <w:bookmarkStart w:id="20" w:name="_GoBack"/>
      <w:bookmarkEnd w:id="20"/>
      <w:r>
        <w:rPr>
          <w:rFonts w:hint="default"/>
          <w:lang w:val="en-US" w:eastAsia="zh-CN"/>
        </w:rPr>
        <w:t>召开公司质量分析会，收集和分析相关记录。发现有潜在的不合格事实时，根据潜在问题影响程度确定轻重缓急，分析原因，评价防止不合格发生的措施的需求，并定出预防措施和责任部门。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填写《预防措施记录》中的潜在不合格事实栏，责任部门分析原因并制定预防措施后实施，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跟踪验证实施效果。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23440"/>
      <w:r>
        <w:rPr>
          <w:rFonts w:hint="default"/>
          <w:lang w:val="en-US" w:eastAsia="zh-CN"/>
        </w:rPr>
        <w:t>评审所采取的预防措施</w:t>
      </w:r>
      <w:bookmarkEnd w:id="21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对预防措施有效性进行评审，在《预防措施记录》上签字确认；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当潜在不合格原因是由于管理体系有关文件的不完善所致时，应对相关文件修改的必要性进行评审，并予以实施，执行有关文件更改的有关规定。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2956"/>
      <w:r>
        <w:rPr>
          <w:rFonts w:hint="default"/>
          <w:lang w:val="en-US" w:eastAsia="zh-CN"/>
        </w:rPr>
        <w:t>纠正和预防措施状况</w:t>
      </w:r>
      <w:bookmarkEnd w:id="22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13778"/>
      <w:r>
        <w:rPr>
          <w:rFonts w:hint="default"/>
          <w:lang w:val="en-US" w:eastAsia="zh-CN"/>
        </w:rPr>
        <w:t>资源与监督</w:t>
      </w:r>
      <w:bookmarkEnd w:id="2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在纠正或预防措施的实施过程中，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经理负责配置必要的资源，协助分析原因和确定责任部门，并监督措施实施的过程。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8703"/>
      <w:r>
        <w:rPr>
          <w:rFonts w:hint="default"/>
          <w:lang w:val="en-US" w:eastAsia="zh-CN"/>
        </w:rPr>
        <w:t>记录与统计</w:t>
      </w:r>
      <w:bookmarkEnd w:id="2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收集汇公司质量管理中的《纠正措施记录》和《预防措施记录》，形成《纠正和预防措施实施情况统计表》，统计并分析纠正和预防措施的状况。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3945"/>
      <w:r>
        <w:rPr>
          <w:rFonts w:hint="default"/>
          <w:lang w:val="en-US" w:eastAsia="zh-CN"/>
        </w:rPr>
        <w:t>管理评审输入</w:t>
      </w:r>
      <w:bookmarkEnd w:id="2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纠正和预防措施的状况，作为管理评审的输入信息之一。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6283"/>
      <w:r>
        <w:rPr>
          <w:rFonts w:hint="default"/>
          <w:lang w:val="en-US" w:eastAsia="zh-CN"/>
        </w:rPr>
        <w:t>相关记录</w:t>
      </w:r>
      <w:bookmarkEnd w:id="2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《纠正措施记录》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《预防措施记录》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《纠正和预防措施实施情况统计表》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C4C96BB"/>
    <w:multiLevelType w:val="singleLevel"/>
    <w:tmpl w:val="BC4C96B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C6B0BC3"/>
    <w:multiLevelType w:val="singleLevel"/>
    <w:tmpl w:val="CC6B0BC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37166EA"/>
    <w:multiLevelType w:val="singleLevel"/>
    <w:tmpl w:val="537166E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link w:val="3Char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Char">
    <w:name w:val="柴_标题3 Char"/>
    <w:link w:val="3"/>
    <w:qFormat/>
    <w:rPr>
      <w:rFonts w:ascii="宋体" w:eastAsia="宋体" w:hAnsi="宋体" w:cs="宋体"/>
      <w:spacing w:val="-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1927</Words>
  <Characters>2085</Characters>
  <Application>Microsoft Office Word</Application>
  <DocSecurity>0</DocSecurity>
  <Lines>0</Lines>
  <Paragraphs>0</Paragraphs>
  <ScaleCrop>false</ScaleCrop>
  <Company/>
  <LinksUpToDate>false</LinksUpToDate>
  <CharactersWithSpaces>2185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2026-02-15T17:03:51Z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