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2ABA4B">
      <w:pPr>
        <w:pStyle w:val="24"/>
        <w:bidi w:val="0"/>
        <w:ind w:left="420" w:leftChars="0" w:right="0" w:rightChars="0" w:firstLine="420" w:firstLineChars="0"/>
        <w:jc w:val="center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</w:p>
    <w:p w14:paraId="1BF2881F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运维服务内审计划</w:t>
      </w:r>
    </w:p>
    <w:p w14:paraId="3CAAD923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（HXDL-ITSS-0410）</w:t>
      </w:r>
    </w:p>
    <w:p w14:paraId="4CFE5CAB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28F815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51CE8F15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刘鑫楠</w:t>
            </w:r>
          </w:p>
        </w:tc>
        <w:tc>
          <w:tcPr>
            <w:tcW w:w="4261" w:type="dxa"/>
          </w:tcPr>
          <w:p w14:paraId="2ACEC68A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bookmarkStart w:id="0" w:name="_GoBack"/>
            <w:bookmarkEnd w:id="0"/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2026.01.10</w:t>
            </w:r>
          </w:p>
        </w:tc>
      </w:tr>
      <w:tr w14:paraId="74533A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11C153D2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4E2AD549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2026.01.10</w:t>
            </w:r>
          </w:p>
        </w:tc>
      </w:tr>
      <w:tr w14:paraId="75FE6D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D2F997F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45F8EF64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2026.01.10</w:t>
            </w:r>
          </w:p>
        </w:tc>
      </w:tr>
    </w:tbl>
    <w:p w14:paraId="688B90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0AA505D7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34"/>
        <w:gridCol w:w="1220"/>
      </w:tblGrid>
      <w:tr w14:paraId="2B67CFE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7776612B">
            <w:pPr>
              <w:spacing w:line="350" w:lineRule="auto"/>
              <w:rPr>
                <w:rFonts w:ascii="Arial"/>
                <w:sz w:val="21"/>
              </w:rPr>
            </w:pPr>
          </w:p>
          <w:p w14:paraId="78CE2AEF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7787E4B4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4D435DB3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51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61DA7C37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20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69ED8545">
            <w:pPr>
              <w:spacing w:line="350" w:lineRule="auto"/>
              <w:rPr>
                <w:rFonts w:ascii="Arial"/>
                <w:sz w:val="21"/>
              </w:rPr>
            </w:pPr>
          </w:p>
          <w:p w14:paraId="0B76F432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739EB09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4C3B5FA5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2A92CFC0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1CE7214A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2D5D801C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169E8CE1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19E696D8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34" w:type="dxa"/>
            <w:shd w:val="clear" w:color="auto" w:fill="D9D9D9"/>
          </w:tcPr>
          <w:p w14:paraId="0638C7A0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20" w:type="dxa"/>
            <w:vMerge w:val="continue"/>
            <w:tcBorders>
              <w:top w:val="nil"/>
              <w:right w:val="single" w:color="000000" w:sz="10" w:space="0"/>
            </w:tcBorders>
          </w:tcPr>
          <w:p w14:paraId="54FD5732">
            <w:pPr>
              <w:rPr>
                <w:rFonts w:ascii="Arial"/>
                <w:sz w:val="21"/>
              </w:rPr>
            </w:pPr>
          </w:p>
        </w:tc>
      </w:tr>
      <w:tr w14:paraId="327E4F6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68659438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18830080">
            <w:pPr>
              <w:pStyle w:val="27"/>
              <w:spacing w:before="230" w:line="219" w:lineRule="auto"/>
              <w:ind w:left="125"/>
            </w:pPr>
            <w:r>
              <w:rPr>
                <w:rFonts w:hint="eastAsia"/>
                <w:spacing w:val="-4"/>
              </w:rPr>
              <w:t>刘鑫楠</w:t>
            </w:r>
          </w:p>
        </w:tc>
        <w:tc>
          <w:tcPr>
            <w:tcW w:w="1274" w:type="dxa"/>
          </w:tcPr>
          <w:p w14:paraId="06096506">
            <w:pPr>
              <w:pStyle w:val="27"/>
              <w:spacing w:before="230" w:line="237" w:lineRule="auto"/>
              <w:ind w:left="104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10</w:t>
            </w:r>
          </w:p>
        </w:tc>
        <w:tc>
          <w:tcPr>
            <w:tcW w:w="957" w:type="dxa"/>
          </w:tcPr>
          <w:p w14:paraId="3106D392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75ADC350">
            <w:pPr>
              <w:pStyle w:val="27"/>
              <w:spacing w:before="230" w:line="237" w:lineRule="auto"/>
              <w:ind w:left="161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rFonts w:hint="eastAsia"/>
                <w:spacing w:val="-1"/>
                <w:lang w:val="en-US" w:eastAsia="zh-CN"/>
              </w:rPr>
              <w:t>.10</w:t>
            </w:r>
          </w:p>
        </w:tc>
        <w:tc>
          <w:tcPr>
            <w:tcW w:w="1017" w:type="dxa"/>
          </w:tcPr>
          <w:p w14:paraId="384FC945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陈垒</w:t>
            </w:r>
          </w:p>
        </w:tc>
        <w:tc>
          <w:tcPr>
            <w:tcW w:w="1434" w:type="dxa"/>
          </w:tcPr>
          <w:p w14:paraId="7A6C30AF">
            <w:pPr>
              <w:pStyle w:val="27"/>
              <w:spacing w:before="230" w:line="237" w:lineRule="auto"/>
              <w:ind w:left="22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10</w:t>
            </w:r>
          </w:p>
        </w:tc>
        <w:tc>
          <w:tcPr>
            <w:tcW w:w="1220" w:type="dxa"/>
            <w:tcBorders>
              <w:right w:val="single" w:color="000000" w:sz="10" w:space="0"/>
            </w:tcBorders>
          </w:tcPr>
          <w:p w14:paraId="4811EE90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57E8068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5AD7A073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1EA11EA7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38280CE7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6CB566CA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426C1F7D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345E6B7C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434" w:type="dxa"/>
          </w:tcPr>
          <w:p w14:paraId="71A021CB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220" w:type="dxa"/>
            <w:tcBorders>
              <w:right w:val="single" w:color="000000" w:sz="10" w:space="0"/>
            </w:tcBorders>
          </w:tcPr>
          <w:p w14:paraId="5454815F">
            <w:pPr>
              <w:pStyle w:val="27"/>
              <w:spacing w:before="152" w:line="219" w:lineRule="auto"/>
              <w:ind w:left="436"/>
            </w:pPr>
          </w:p>
        </w:tc>
      </w:tr>
      <w:tr w14:paraId="16CD18B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2A1DA20B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1A419CDF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394B6D48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06310657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7E9BD11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2174AEBD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434" w:type="dxa"/>
            <w:tcBorders>
              <w:bottom w:val="single" w:color="000000" w:sz="10" w:space="0"/>
            </w:tcBorders>
          </w:tcPr>
          <w:p w14:paraId="52315462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220" w:type="dxa"/>
            <w:tcBorders>
              <w:bottom w:val="single" w:color="000000" w:sz="10" w:space="0"/>
              <w:right w:val="single" w:color="000000" w:sz="10" w:space="0"/>
            </w:tcBorders>
          </w:tcPr>
          <w:p w14:paraId="2C3ACE74">
            <w:pPr>
              <w:pStyle w:val="27"/>
              <w:spacing w:before="157" w:line="219" w:lineRule="auto"/>
              <w:ind w:left="436"/>
            </w:pPr>
          </w:p>
        </w:tc>
      </w:tr>
    </w:tbl>
    <w:p w14:paraId="458B68A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4FD280C8">
      <w:pPr>
        <w:spacing w:before="213" w:line="217" w:lineRule="auto"/>
        <w:ind w:left="3711"/>
        <w:outlineLvl w:val="0"/>
        <w:rPr>
          <w:rFonts w:ascii="仿宋" w:hAnsi="仿宋" w:eastAsia="仿宋" w:cs="仿宋"/>
          <w:sz w:val="30"/>
          <w:szCs w:val="30"/>
        </w:rPr>
      </w:pPr>
      <w:r>
        <w:rPr>
          <w:rFonts w:ascii="仿宋" w:hAnsi="仿宋" w:eastAsia="仿宋" w:cs="仿宋"/>
          <w:b/>
          <w:bCs/>
          <w:spacing w:val="-5"/>
          <w:sz w:val="30"/>
          <w:szCs w:val="30"/>
        </w:rPr>
        <w:t>运维服务内审计划</w:t>
      </w:r>
    </w:p>
    <w:p w14:paraId="7F0EF8FD">
      <w:pPr>
        <w:spacing w:before="208"/>
      </w:pPr>
    </w:p>
    <w:tbl>
      <w:tblPr>
        <w:tblStyle w:val="26"/>
        <w:tblW w:w="9803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01"/>
        <w:gridCol w:w="4902"/>
      </w:tblGrid>
      <w:tr w14:paraId="6FC3C9A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9803" w:type="dxa"/>
            <w:gridSpan w:val="2"/>
          </w:tcPr>
          <w:p w14:paraId="7BAF06FE">
            <w:pPr>
              <w:spacing w:before="177" w:line="219" w:lineRule="auto"/>
              <w:ind w:left="14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"/>
                <w:sz w:val="28"/>
                <w:szCs w:val="28"/>
              </w:rPr>
              <w:t>审核目的：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确保体系的符合性和有效性，并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得到持续改进.</w:t>
            </w:r>
          </w:p>
        </w:tc>
      </w:tr>
      <w:tr w14:paraId="2A819CD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97" w:hRule="atLeast"/>
        </w:trPr>
        <w:tc>
          <w:tcPr>
            <w:tcW w:w="9803" w:type="dxa"/>
            <w:gridSpan w:val="2"/>
          </w:tcPr>
          <w:p w14:paraId="2F576E26">
            <w:pPr>
              <w:spacing w:before="172" w:line="219" w:lineRule="auto"/>
              <w:ind w:left="130"/>
              <w:rPr>
                <w:rFonts w:ascii="仿宋" w:hAnsi="仿宋" w:eastAsia="仿宋" w:cs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/>
                <w:bCs/>
                <w:spacing w:val="-16"/>
                <w:sz w:val="28"/>
                <w:szCs w:val="28"/>
              </w:rPr>
              <w:t>一、</w:t>
            </w:r>
            <w:r>
              <w:rPr>
                <w:rFonts w:ascii="仿宋" w:hAnsi="仿宋" w:eastAsia="仿宋" w:cs="仿宋"/>
                <w:spacing w:val="20"/>
                <w:sz w:val="28"/>
                <w:szCs w:val="28"/>
              </w:rPr>
              <w:t xml:space="preserve">  </w:t>
            </w:r>
            <w:r>
              <w:rPr>
                <w:rFonts w:ascii="仿宋" w:hAnsi="仿宋" w:eastAsia="仿宋" w:cs="仿宋"/>
                <w:b/>
                <w:bCs/>
                <w:spacing w:val="-16"/>
                <w:sz w:val="28"/>
                <w:szCs w:val="28"/>
              </w:rPr>
              <w:t>审核范围：</w:t>
            </w:r>
          </w:p>
          <w:p w14:paraId="6280A0A8">
            <w:pPr>
              <w:spacing w:before="234" w:line="217" w:lineRule="auto"/>
              <w:ind w:left="54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公司</w:t>
            </w:r>
            <w:r>
              <w:rPr>
                <w:rFonts w:ascii="仿宋" w:hAnsi="仿宋" w:eastAsia="仿宋" w:cs="仿宋"/>
                <w:spacing w:val="-3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ITSS</w:t>
            </w:r>
            <w:r>
              <w:rPr>
                <w:rFonts w:ascii="仿宋" w:hAnsi="仿宋" w:eastAsia="仿宋" w:cs="仿宋"/>
                <w:spacing w:val="-4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体系标准覆盖的相关部门及活动</w:t>
            </w:r>
          </w:p>
        </w:tc>
      </w:tr>
      <w:tr w14:paraId="2897C24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02" w:hRule="atLeast"/>
        </w:trPr>
        <w:tc>
          <w:tcPr>
            <w:tcW w:w="9803" w:type="dxa"/>
            <w:gridSpan w:val="2"/>
          </w:tcPr>
          <w:p w14:paraId="5CE03C95">
            <w:pPr>
              <w:spacing w:before="172" w:line="219" w:lineRule="auto"/>
              <w:ind w:left="135"/>
              <w:rPr>
                <w:rFonts w:ascii="仿宋" w:hAnsi="仿宋" w:eastAsia="仿宋" w:cs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/>
                <w:bCs/>
                <w:spacing w:val="-17"/>
                <w:sz w:val="28"/>
                <w:szCs w:val="28"/>
              </w:rPr>
              <w:t>二、</w:t>
            </w:r>
            <w:r>
              <w:rPr>
                <w:rFonts w:ascii="仿宋" w:hAnsi="仿宋" w:eastAsia="仿宋" w:cs="仿宋"/>
                <w:spacing w:val="21"/>
                <w:sz w:val="28"/>
                <w:szCs w:val="28"/>
              </w:rPr>
              <w:t xml:space="preserve">  </w:t>
            </w:r>
            <w:r>
              <w:rPr>
                <w:rFonts w:ascii="仿宋" w:hAnsi="仿宋" w:eastAsia="仿宋" w:cs="仿宋"/>
                <w:b/>
                <w:bCs/>
                <w:spacing w:val="-17"/>
                <w:sz w:val="28"/>
                <w:szCs w:val="28"/>
              </w:rPr>
              <w:t>审核依据：</w:t>
            </w:r>
          </w:p>
          <w:p w14:paraId="79D2F83C">
            <w:pPr>
              <w:spacing w:before="233" w:line="360" w:lineRule="auto"/>
              <w:ind w:left="538" w:right="370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《信息技术服务</w:t>
            </w:r>
            <w:r>
              <w:rPr>
                <w:rFonts w:ascii="仿宋" w:hAnsi="仿宋" w:eastAsia="仿宋" w:cs="仿宋"/>
                <w:spacing w:val="-2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运行维护服务能力成熟度模型》三级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《202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5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年运维服务管理目标》；</w:t>
            </w:r>
          </w:p>
          <w:p w14:paraId="051C8A94">
            <w:pPr>
              <w:spacing w:line="217" w:lineRule="auto"/>
              <w:ind w:left="66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公司</w:t>
            </w:r>
            <w:r>
              <w:rPr>
                <w:rFonts w:ascii="仿宋" w:hAnsi="仿宋" w:eastAsia="仿宋" w:cs="仿宋"/>
                <w:spacing w:val="-31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ITSS</w:t>
            </w:r>
            <w:r>
              <w:rPr>
                <w:rFonts w:ascii="仿宋" w:hAnsi="仿宋" w:eastAsia="仿宋" w:cs="仿宋"/>
                <w:spacing w:val="-31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管理制度及相关制度；</w:t>
            </w:r>
          </w:p>
          <w:p w14:paraId="7207879D">
            <w:pPr>
              <w:spacing w:before="185" w:line="218" w:lineRule="auto"/>
              <w:ind w:left="66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适用的法律法规等</w:t>
            </w:r>
          </w:p>
        </w:tc>
      </w:tr>
      <w:tr w14:paraId="717144B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68" w:hRule="atLeast"/>
        </w:trPr>
        <w:tc>
          <w:tcPr>
            <w:tcW w:w="9803" w:type="dxa"/>
            <w:gridSpan w:val="2"/>
          </w:tcPr>
          <w:p w14:paraId="01ABDDEE">
            <w:pPr>
              <w:spacing w:before="173" w:line="219" w:lineRule="auto"/>
              <w:ind w:left="134"/>
              <w:rPr>
                <w:rFonts w:ascii="仿宋" w:hAnsi="仿宋" w:eastAsia="仿宋" w:cs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/>
                <w:bCs/>
                <w:spacing w:val="-17"/>
                <w:sz w:val="28"/>
                <w:szCs w:val="28"/>
              </w:rPr>
              <w:t>三、</w:t>
            </w:r>
            <w:r>
              <w:rPr>
                <w:rFonts w:ascii="仿宋" w:hAnsi="仿宋" w:eastAsia="仿宋" w:cs="仿宋"/>
                <w:spacing w:val="22"/>
                <w:sz w:val="28"/>
                <w:szCs w:val="28"/>
              </w:rPr>
              <w:t xml:space="preserve">  </w:t>
            </w:r>
            <w:r>
              <w:rPr>
                <w:rFonts w:ascii="仿宋" w:hAnsi="仿宋" w:eastAsia="仿宋" w:cs="仿宋"/>
                <w:b/>
                <w:bCs/>
                <w:spacing w:val="-17"/>
                <w:sz w:val="28"/>
                <w:szCs w:val="28"/>
              </w:rPr>
              <w:t>审核时间：</w:t>
            </w:r>
          </w:p>
          <w:p w14:paraId="79345A69">
            <w:pPr>
              <w:spacing w:before="234" w:line="218" w:lineRule="auto"/>
              <w:ind w:left="56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时间安排：202</w:t>
            </w:r>
            <w:r>
              <w:rPr>
                <w:rFonts w:hint="eastAsia" w:ascii="仿宋" w:hAnsi="仿宋" w:eastAsia="仿宋" w:cs="仿宋"/>
                <w:spacing w:val="-12"/>
                <w:sz w:val="24"/>
                <w:szCs w:val="24"/>
                <w:lang w:val="en-US" w:eastAsia="zh-CN"/>
              </w:rPr>
              <w:t>6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年</w:t>
            </w:r>
            <w:r>
              <w:rPr>
                <w:rFonts w:hint="eastAsia" w:ascii="仿宋" w:hAnsi="仿宋" w:eastAsia="仿宋" w:cs="仿宋"/>
                <w:spacing w:val="-33"/>
                <w:sz w:val="24"/>
                <w:szCs w:val="24"/>
                <w:lang w:val="en-US" w:eastAsia="zh-CN"/>
              </w:rPr>
              <w:t>1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月</w:t>
            </w:r>
            <w:r>
              <w:rPr>
                <w:rFonts w:hint="eastAsia" w:ascii="仿宋" w:hAnsi="仿宋" w:eastAsia="仿宋" w:cs="仿宋"/>
                <w:spacing w:val="-33"/>
                <w:sz w:val="24"/>
                <w:szCs w:val="24"/>
                <w:lang w:val="en-US" w:eastAsia="zh-CN"/>
              </w:rPr>
              <w:t>15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日</w:t>
            </w:r>
            <w:r>
              <w:rPr>
                <w:rFonts w:ascii="仿宋" w:hAnsi="仿宋" w:eastAsia="仿宋" w:cs="仿宋"/>
                <w:spacing w:val="2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至 202</w:t>
            </w:r>
            <w:r>
              <w:rPr>
                <w:rFonts w:hint="eastAsia" w:ascii="仿宋" w:hAnsi="仿宋" w:eastAsia="仿宋" w:cs="仿宋"/>
                <w:spacing w:val="-12"/>
                <w:sz w:val="24"/>
                <w:szCs w:val="24"/>
                <w:lang w:val="en-US" w:eastAsia="zh-CN"/>
              </w:rPr>
              <w:t>6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年</w:t>
            </w:r>
            <w:r>
              <w:rPr>
                <w:rFonts w:hint="eastAsia" w:ascii="仿宋" w:hAnsi="仿宋" w:eastAsia="仿宋" w:cs="仿宋"/>
                <w:spacing w:val="-34"/>
                <w:sz w:val="24"/>
                <w:szCs w:val="24"/>
                <w:lang w:val="en-US" w:eastAsia="zh-CN"/>
              </w:rPr>
              <w:t>1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月</w:t>
            </w:r>
            <w:r>
              <w:rPr>
                <w:rFonts w:hint="eastAsia" w:ascii="仿宋" w:hAnsi="仿宋" w:eastAsia="仿宋" w:cs="仿宋"/>
                <w:spacing w:val="-12"/>
                <w:sz w:val="24"/>
                <w:szCs w:val="24"/>
                <w:lang w:val="en-US" w:eastAsia="zh-CN"/>
              </w:rPr>
              <w:t>16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日</w:t>
            </w:r>
          </w:p>
          <w:p w14:paraId="0DB0621C">
            <w:pPr>
              <w:spacing w:before="184" w:line="218" w:lineRule="auto"/>
              <w:ind w:left="55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会议安排：首次会议时间：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202</w:t>
            </w:r>
            <w:r>
              <w:rPr>
                <w:rFonts w:hint="eastAsia" w:ascii="仿宋" w:hAnsi="仿宋" w:eastAsia="仿宋" w:cs="仿宋"/>
                <w:spacing w:val="-12"/>
                <w:sz w:val="24"/>
                <w:szCs w:val="24"/>
                <w:lang w:val="en-US" w:eastAsia="zh-CN"/>
              </w:rPr>
              <w:t>6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年</w:t>
            </w:r>
            <w:r>
              <w:rPr>
                <w:rFonts w:hint="eastAsia" w:ascii="仿宋" w:hAnsi="仿宋" w:eastAsia="仿宋" w:cs="仿宋"/>
                <w:spacing w:val="-33"/>
                <w:sz w:val="24"/>
                <w:szCs w:val="24"/>
                <w:lang w:val="en-US" w:eastAsia="zh-CN"/>
              </w:rPr>
              <w:t>1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月</w:t>
            </w:r>
            <w:r>
              <w:rPr>
                <w:rFonts w:hint="eastAsia" w:ascii="仿宋" w:hAnsi="仿宋" w:eastAsia="仿宋" w:cs="仿宋"/>
                <w:spacing w:val="-33"/>
                <w:sz w:val="24"/>
                <w:szCs w:val="24"/>
                <w:lang w:val="en-US" w:eastAsia="zh-CN"/>
              </w:rPr>
              <w:t>15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日</w:t>
            </w:r>
            <w:r>
              <w:rPr>
                <w:rFonts w:hint="eastAsia" w:ascii="仿宋" w:hAnsi="仿宋" w:eastAsia="仿宋" w:cs="仿宋"/>
                <w:spacing w:val="-9"/>
                <w:sz w:val="24"/>
                <w:szCs w:val="24"/>
                <w:lang w:val="en-US" w:eastAsia="zh-CN"/>
              </w:rPr>
              <w:t>9：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00时</w:t>
            </w:r>
            <w:r>
              <w:rPr>
                <w:rFonts w:hint="eastAsia" w:ascii="仿宋" w:hAnsi="仿宋" w:eastAsia="仿宋" w:cs="仿宋"/>
                <w:spacing w:val="-9"/>
                <w:sz w:val="24"/>
                <w:szCs w:val="24"/>
                <w:lang w:eastAsia="zh-CN"/>
              </w:rPr>
              <w:t>，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末次会议时间：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202</w:t>
            </w:r>
            <w:r>
              <w:rPr>
                <w:rFonts w:hint="eastAsia" w:ascii="仿宋" w:hAnsi="仿宋" w:eastAsia="仿宋" w:cs="仿宋"/>
                <w:spacing w:val="-12"/>
                <w:sz w:val="24"/>
                <w:szCs w:val="24"/>
                <w:lang w:val="en-US" w:eastAsia="zh-CN"/>
              </w:rPr>
              <w:t>6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年</w:t>
            </w:r>
            <w:r>
              <w:rPr>
                <w:rFonts w:hint="eastAsia" w:ascii="仿宋" w:hAnsi="仿宋" w:eastAsia="仿宋" w:cs="仿宋"/>
                <w:spacing w:val="-34"/>
                <w:sz w:val="24"/>
                <w:szCs w:val="24"/>
                <w:lang w:val="en-US" w:eastAsia="zh-CN"/>
              </w:rPr>
              <w:t>1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月</w:t>
            </w:r>
            <w:r>
              <w:rPr>
                <w:rFonts w:hint="eastAsia" w:ascii="仿宋" w:hAnsi="仿宋" w:eastAsia="仿宋" w:cs="仿宋"/>
                <w:spacing w:val="-12"/>
                <w:sz w:val="24"/>
                <w:szCs w:val="24"/>
                <w:lang w:val="en-US" w:eastAsia="zh-CN"/>
              </w:rPr>
              <w:t>16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日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17:00时</w:t>
            </w:r>
          </w:p>
        </w:tc>
      </w:tr>
      <w:tr w14:paraId="26D87AA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33" w:hRule="atLeast"/>
        </w:trPr>
        <w:tc>
          <w:tcPr>
            <w:tcW w:w="9803" w:type="dxa"/>
            <w:gridSpan w:val="2"/>
          </w:tcPr>
          <w:p w14:paraId="4624B2F9">
            <w:pPr>
              <w:spacing w:before="172" w:line="231" w:lineRule="auto"/>
              <w:ind w:left="15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8"/>
                <w:szCs w:val="28"/>
              </w:rPr>
              <w:t>四、</w:t>
            </w:r>
            <w:r>
              <w:rPr>
                <w:rFonts w:ascii="仿宋" w:hAnsi="仿宋" w:eastAsia="仿宋" w:cs="仿宋"/>
                <w:spacing w:val="22"/>
                <w:sz w:val="28"/>
                <w:szCs w:val="28"/>
              </w:rPr>
              <w:t xml:space="preserve">  </w:t>
            </w:r>
            <w:r>
              <w:rPr>
                <w:rFonts w:ascii="仿宋" w:hAnsi="仿宋" w:eastAsia="仿宋" w:cs="仿宋"/>
                <w:b/>
                <w:bCs/>
                <w:spacing w:val="-7"/>
                <w:sz w:val="28"/>
                <w:szCs w:val="28"/>
              </w:rPr>
              <w:t>审核组成员</w:t>
            </w:r>
            <w:r>
              <w:rPr>
                <w:rFonts w:ascii="Arial" w:hAnsi="Arial" w:eastAsia="Arial" w:cs="Arial"/>
                <w:b/>
                <w:bCs/>
                <w:spacing w:val="-7"/>
                <w:sz w:val="28"/>
                <w:szCs w:val="28"/>
              </w:rPr>
              <w:t xml:space="preserve">:      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内审组长：</w:t>
            </w: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张智宏</w:t>
            </w:r>
          </w:p>
          <w:p w14:paraId="2B669B1D">
            <w:pPr>
              <w:spacing w:before="214" w:line="360" w:lineRule="auto"/>
              <w:ind w:left="1322" w:right="182" w:hanging="773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部门：</w:t>
            </w: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  <w:lang w:val="en-US" w:eastAsia="zh-CN"/>
              </w:rPr>
              <w:t>运维部、质量部、研发部、人力资源部</w:t>
            </w:r>
          </w:p>
          <w:p w14:paraId="2A5FF019">
            <w:pPr>
              <w:spacing w:line="217" w:lineRule="auto"/>
              <w:ind w:left="567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审核组员：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赵川华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eastAsia="zh-CN"/>
              </w:rPr>
              <w:t>（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A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eastAsia="zh-CN"/>
              </w:rPr>
              <w:t>）、郑运龙（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B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eastAsia="zh-CN"/>
              </w:rPr>
              <w:t>）、李欣雨（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C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eastAsia="zh-CN"/>
              </w:rPr>
              <w:t>）、刘鑫楠（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D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eastAsia="zh-CN"/>
              </w:rPr>
              <w:t>）</w:t>
            </w:r>
          </w:p>
        </w:tc>
      </w:tr>
      <w:tr w14:paraId="54EB40B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4" w:hRule="atLeast"/>
        </w:trPr>
        <w:tc>
          <w:tcPr>
            <w:tcW w:w="9803" w:type="dxa"/>
            <w:gridSpan w:val="2"/>
          </w:tcPr>
          <w:p w14:paraId="147ECF0A">
            <w:pPr>
              <w:pStyle w:val="27"/>
              <w:spacing w:before="170" w:line="219" w:lineRule="auto"/>
              <w:ind w:left="119"/>
              <w:rPr>
                <w:rFonts w:ascii="仿宋" w:hAnsi="仿宋" w:eastAsia="仿宋" w:cs="仿宋"/>
                <w:sz w:val="28"/>
                <w:szCs w:val="28"/>
              </w:rPr>
            </w:pPr>
            <w:r>
              <w:rPr>
                <w:b/>
                <w:bCs/>
                <w:spacing w:val="-14"/>
                <w:sz w:val="21"/>
                <w:szCs w:val="21"/>
              </w:rPr>
              <w:t>五、</w:t>
            </w:r>
            <w:r>
              <w:rPr>
                <w:spacing w:val="10"/>
                <w:sz w:val="21"/>
                <w:szCs w:val="21"/>
              </w:rPr>
              <w:t xml:space="preserve">    </w:t>
            </w:r>
            <w:r>
              <w:rPr>
                <w:rFonts w:ascii="仿宋" w:hAnsi="仿宋" w:eastAsia="仿宋" w:cs="仿宋"/>
                <w:b/>
                <w:bCs/>
                <w:spacing w:val="-14"/>
                <w:sz w:val="28"/>
                <w:szCs w:val="28"/>
              </w:rPr>
              <w:t>审核中活动：</w:t>
            </w:r>
          </w:p>
          <w:p w14:paraId="58182FB9">
            <w:pPr>
              <w:spacing w:before="156" w:line="225" w:lineRule="auto"/>
              <w:ind w:left="382" w:right="2521" w:hanging="1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首、末次会议：最高管理者或其代表与审核有关的管理人员参加。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审核活动：按审核日程安排，被审核方有关人员在本岗位。</w:t>
            </w:r>
          </w:p>
        </w:tc>
      </w:tr>
      <w:tr w14:paraId="49CD28F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4" w:hRule="atLeast"/>
        </w:trPr>
        <w:tc>
          <w:tcPr>
            <w:tcW w:w="9803" w:type="dxa"/>
            <w:gridSpan w:val="2"/>
            <w:shd w:val="clear" w:color="auto" w:fill="auto"/>
          </w:tcPr>
          <w:p w14:paraId="0A744A97">
            <w:pPr>
              <w:spacing w:before="169" w:line="234" w:lineRule="auto"/>
              <w:ind w:left="128"/>
              <w:rPr>
                <w:rFonts w:ascii="Arial" w:hAnsi="Arial" w:eastAsia="Arial" w:cs="Arial"/>
                <w:sz w:val="28"/>
                <w:szCs w:val="28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8"/>
                <w:szCs w:val="28"/>
              </w:rPr>
              <w:t>六、</w:t>
            </w:r>
            <w:r>
              <w:rPr>
                <w:rFonts w:ascii="仿宋" w:hAnsi="仿宋" w:eastAsia="仿宋" w:cs="仿宋"/>
                <w:spacing w:val="11"/>
                <w:sz w:val="28"/>
                <w:szCs w:val="28"/>
              </w:rPr>
              <w:t xml:space="preserve">  </w:t>
            </w:r>
            <w:r>
              <w:rPr>
                <w:rFonts w:ascii="仿宋" w:hAnsi="仿宋" w:eastAsia="仿宋" w:cs="仿宋"/>
                <w:b/>
                <w:bCs/>
                <w:spacing w:val="-10"/>
                <w:sz w:val="28"/>
                <w:szCs w:val="28"/>
              </w:rPr>
              <w:t>备注</w:t>
            </w:r>
            <w:r>
              <w:rPr>
                <w:rFonts w:ascii="Arial" w:hAnsi="Arial" w:eastAsia="Arial" w:cs="Arial"/>
                <w:b/>
                <w:bCs/>
                <w:spacing w:val="-10"/>
                <w:sz w:val="28"/>
                <w:szCs w:val="28"/>
              </w:rPr>
              <w:t>:</w:t>
            </w:r>
          </w:p>
          <w:p w14:paraId="557ACF26">
            <w:pPr>
              <w:spacing w:before="132" w:line="215" w:lineRule="auto"/>
              <w:ind w:left="36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z w:val="24"/>
                <w:szCs w:val="24"/>
              </w:rPr>
              <w:t>在内审实施中各部门要配合内审人员进行内审工作;</w:t>
            </w:r>
          </w:p>
          <w:p w14:paraId="3C68F86C">
            <w:pPr>
              <w:spacing w:before="32" w:line="215" w:lineRule="auto"/>
              <w:ind w:left="36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z w:val="24"/>
                <w:szCs w:val="24"/>
              </w:rPr>
              <w:t>在内审实施中要避免言语冲突的发生;</w:t>
            </w:r>
          </w:p>
          <w:p w14:paraId="7700F04D">
            <w:pPr>
              <w:spacing w:before="110" w:line="217" w:lineRule="auto"/>
              <w:ind w:left="393" w:leftChars="0"/>
              <w:rPr>
                <w:rFonts w:ascii="仿宋" w:hAnsi="仿宋" w:eastAsia="仿宋" w:cs="仿宋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内审员对审核结果要及时记录(无论是否符合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)。</w:t>
            </w:r>
          </w:p>
        </w:tc>
      </w:tr>
      <w:tr w14:paraId="4083B8A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4" w:hRule="atLeast"/>
        </w:trPr>
        <w:tc>
          <w:tcPr>
            <w:tcW w:w="4901" w:type="dxa"/>
            <w:shd w:val="clear" w:color="auto" w:fill="auto"/>
          </w:tcPr>
          <w:p w14:paraId="6C7CCFD5">
            <w:pPr>
              <w:spacing w:before="236" w:line="217" w:lineRule="auto"/>
              <w:ind w:left="142" w:leftChars="0"/>
              <w:rPr>
                <w:rFonts w:hint="default" w:ascii="仿宋" w:hAnsi="仿宋" w:eastAsia="仿宋" w:cs="仿宋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编制人：</w:t>
            </w:r>
            <w:r>
              <w:rPr>
                <w:rFonts w:hint="eastAsia" w:ascii="仿宋" w:hAnsi="仿宋" w:eastAsia="仿宋" w:cs="仿宋"/>
                <w:b/>
                <w:bCs/>
                <w:spacing w:val="-4"/>
                <w:sz w:val="24"/>
                <w:szCs w:val="24"/>
                <w:lang w:val="en-US" w:eastAsia="zh-CN"/>
              </w:rPr>
              <w:t>刘鑫楠</w:t>
            </w:r>
          </w:p>
        </w:tc>
        <w:tc>
          <w:tcPr>
            <w:tcW w:w="4902" w:type="dxa"/>
            <w:shd w:val="clear" w:color="auto" w:fill="auto"/>
          </w:tcPr>
          <w:p w14:paraId="366EDD0D">
            <w:pPr>
              <w:spacing w:before="236" w:line="218" w:lineRule="auto"/>
              <w:ind w:left="140" w:leftChars="0"/>
              <w:rPr>
                <w:rFonts w:ascii="仿宋" w:hAnsi="仿宋" w:eastAsia="仿宋" w:cs="仿宋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审批人：</w:t>
            </w: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陈垒</w:t>
            </w:r>
          </w:p>
        </w:tc>
      </w:tr>
    </w:tbl>
    <w:p w14:paraId="0DC0982A">
      <w:pPr>
        <w:pStyle w:val="29"/>
        <w:bidi w:val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NotTrackMoves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99512B1"/>
    <w:rsid w:val="09A80FE4"/>
    <w:rsid w:val="09CD2C33"/>
    <w:rsid w:val="104D4694"/>
    <w:rsid w:val="2C195961"/>
    <w:rsid w:val="2D393B7E"/>
    <w:rsid w:val="2D595579"/>
    <w:rsid w:val="3DC2196D"/>
    <w:rsid w:val="44ED482D"/>
    <w:rsid w:val="488638C9"/>
    <w:rsid w:val="4BBD5522"/>
    <w:rsid w:val="5B2951C7"/>
    <w:rsid w:val="620C3034"/>
    <w:rsid w:val="7FA26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501</Words>
  <Characters>602</Characters>
  <Lines>0</Lines>
  <Paragraphs>0</Paragraphs>
  <TotalTime>0</TotalTime>
  <ScaleCrop>false</ScaleCrop>
  <LinksUpToDate>false</LinksUpToDate>
  <CharactersWithSpaces>632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2026-02-16T14:38:42Z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