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16B08C">
      <w:pPr>
        <w:pStyle w:val="24"/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-1186815</wp:posOffset>
            </wp:positionH>
            <wp:positionV relativeFrom="paragraph">
              <wp:posOffset>15875</wp:posOffset>
            </wp:positionV>
            <wp:extent cx="7609840" cy="9761855"/>
            <wp:effectExtent l="0" t="0" r="10160" b="698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976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天津市华夏电缆有限公司</w:t>
      </w:r>
    </w:p>
    <w:p w14:paraId="58A20E02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bookmarkStart w:id="9" w:name="_GoBack"/>
      <w:bookmarkEnd w:id="9"/>
      <w:r>
        <w:rPr>
          <w:rFonts w:hint="eastAsia"/>
          <w:lang w:val="en-US" w:eastAsia="zh-CN"/>
        </w:rPr>
        <w:t>运维服务管理评审计划</w:t>
      </w:r>
    </w:p>
    <w:p w14:paraId="1B289B8A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（HXDL-ITSS-0415）</w:t>
      </w:r>
    </w:p>
    <w:p w14:paraId="73EBA724">
      <w:pPr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41115E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7C3B1BA3">
            <w:pPr>
              <w:widowControl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刘鑫楠</w:t>
            </w:r>
          </w:p>
        </w:tc>
        <w:tc>
          <w:tcPr>
            <w:tcW w:w="4261" w:type="dxa"/>
          </w:tcPr>
          <w:p w14:paraId="7A86EFE5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2026.01.13</w:t>
            </w:r>
          </w:p>
        </w:tc>
      </w:tr>
      <w:tr w14:paraId="41E140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6AA56AA1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张智宏</w:t>
            </w:r>
          </w:p>
        </w:tc>
        <w:tc>
          <w:tcPr>
            <w:tcW w:w="4261" w:type="dxa"/>
            <w:shd w:val="clear" w:color="auto" w:fill="auto"/>
          </w:tcPr>
          <w:p w14:paraId="77D0F96F">
            <w:pPr>
              <w:widowControl w:val="0"/>
              <w:ind w:left="0" w:leftChars="0" w:right="0" w:rightChars="0" w:firstLine="0" w:firstLineChars="0"/>
              <w:jc w:val="right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2026.01.13</w:t>
            </w:r>
          </w:p>
        </w:tc>
      </w:tr>
      <w:tr w14:paraId="5F1766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773675EF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陈垒</w:t>
            </w:r>
          </w:p>
        </w:tc>
        <w:tc>
          <w:tcPr>
            <w:tcW w:w="4261" w:type="dxa"/>
          </w:tcPr>
          <w:p w14:paraId="4A77B260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2026.01.13</w:t>
            </w:r>
          </w:p>
        </w:tc>
      </w:tr>
    </w:tbl>
    <w:p w14:paraId="70F5D8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2B707D88">
      <w:pPr>
        <w:spacing w:before="98" w:line="220" w:lineRule="auto"/>
        <w:ind w:left="3195"/>
        <w:outlineLvl w:val="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</w:p>
    <w:tbl>
      <w:tblPr>
        <w:tblStyle w:val="26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482"/>
        <w:gridCol w:w="1172"/>
      </w:tblGrid>
      <w:tr w14:paraId="538EB1D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6B361166">
            <w:pPr>
              <w:spacing w:line="350" w:lineRule="auto"/>
              <w:rPr>
                <w:rFonts w:ascii="Arial"/>
                <w:sz w:val="21"/>
              </w:rPr>
            </w:pPr>
          </w:p>
          <w:p w14:paraId="7BEC0417">
            <w:pPr>
              <w:spacing w:before="78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148008DC">
            <w:pPr>
              <w:spacing w:before="181" w:line="220" w:lineRule="auto"/>
              <w:ind w:left="5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09C1548F">
            <w:pPr>
              <w:spacing w:before="181" w:line="219" w:lineRule="auto"/>
              <w:ind w:left="9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499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026C7FEF">
            <w:pPr>
              <w:spacing w:before="181" w:line="220" w:lineRule="auto"/>
              <w:ind w:left="9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172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45076081">
            <w:pPr>
              <w:spacing w:line="350" w:lineRule="auto"/>
              <w:rPr>
                <w:rFonts w:ascii="Arial"/>
                <w:sz w:val="21"/>
              </w:rPr>
            </w:pPr>
          </w:p>
          <w:p w14:paraId="1C7EA66A">
            <w:pPr>
              <w:spacing w:before="78" w:line="220" w:lineRule="auto"/>
              <w:ind w:left="2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37F105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07C362D0"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10BCD87C">
            <w:pPr>
              <w:spacing w:before="177" w:line="220" w:lineRule="auto"/>
              <w:ind w:left="1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7E501E69">
            <w:pPr>
              <w:spacing w:before="177" w:line="220" w:lineRule="auto"/>
              <w:ind w:left="4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0D6D290E">
            <w:pPr>
              <w:spacing w:before="177" w:line="220" w:lineRule="auto"/>
              <w:ind w:left="2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4203163D">
            <w:pPr>
              <w:spacing w:before="177" w:line="220" w:lineRule="auto"/>
              <w:ind w:left="48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5D96A3DC">
            <w:pPr>
              <w:spacing w:before="176" w:line="221" w:lineRule="auto"/>
              <w:ind w:left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482" w:type="dxa"/>
            <w:shd w:val="clear" w:color="auto" w:fill="D9D9D9"/>
          </w:tcPr>
          <w:p w14:paraId="6A4840DC">
            <w:pPr>
              <w:spacing w:before="177" w:line="220" w:lineRule="auto"/>
              <w:ind w:left="4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172" w:type="dxa"/>
            <w:vMerge w:val="continue"/>
            <w:tcBorders>
              <w:top w:val="nil"/>
              <w:right w:val="single" w:color="000000" w:sz="10" w:space="0"/>
            </w:tcBorders>
          </w:tcPr>
          <w:p w14:paraId="32AD9BFE">
            <w:pPr>
              <w:rPr>
                <w:rFonts w:ascii="Arial"/>
                <w:sz w:val="21"/>
              </w:rPr>
            </w:pPr>
          </w:p>
        </w:tc>
      </w:tr>
      <w:tr w14:paraId="10313FD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6A7B487A">
            <w:pPr>
              <w:pStyle w:val="27"/>
              <w:spacing w:before="230" w:line="237" w:lineRule="auto"/>
              <w:ind w:left="195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0DB1762A">
            <w:pPr>
              <w:pStyle w:val="27"/>
              <w:spacing w:before="230" w:line="219" w:lineRule="auto"/>
              <w:ind w:left="125"/>
            </w:pPr>
            <w:r>
              <w:rPr>
                <w:rFonts w:hint="eastAsia"/>
                <w:spacing w:val="-4"/>
              </w:rPr>
              <w:t>刘鑫楠</w:t>
            </w:r>
          </w:p>
        </w:tc>
        <w:tc>
          <w:tcPr>
            <w:tcW w:w="1274" w:type="dxa"/>
          </w:tcPr>
          <w:p w14:paraId="1C0D693F">
            <w:pPr>
              <w:pStyle w:val="27"/>
              <w:spacing w:before="230" w:line="237" w:lineRule="auto"/>
              <w:ind w:left="104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pacing w:val="-1"/>
                <w:lang w:eastAsia="zh-CN"/>
              </w:rPr>
              <w:t>2026.01</w:t>
            </w:r>
            <w:r>
              <w:rPr>
                <w:rFonts w:hint="eastAsia"/>
                <w:spacing w:val="-1"/>
                <w:lang w:val="en-US" w:eastAsia="zh-CN"/>
              </w:rPr>
              <w:t>.13</w:t>
            </w:r>
          </w:p>
        </w:tc>
        <w:tc>
          <w:tcPr>
            <w:tcW w:w="957" w:type="dxa"/>
          </w:tcPr>
          <w:p w14:paraId="5DD39969">
            <w:pPr>
              <w:pStyle w:val="27"/>
              <w:spacing w:before="230" w:line="219" w:lineRule="auto"/>
              <w:ind w:left="168"/>
            </w:pPr>
            <w:r>
              <w:rPr>
                <w:spacing w:val="-4"/>
              </w:rPr>
              <w:t>张智宏</w:t>
            </w:r>
          </w:p>
        </w:tc>
        <w:tc>
          <w:tcPr>
            <w:tcW w:w="1377" w:type="dxa"/>
          </w:tcPr>
          <w:p w14:paraId="445D877F">
            <w:pPr>
              <w:pStyle w:val="27"/>
              <w:spacing w:before="230" w:line="237" w:lineRule="auto"/>
              <w:ind w:left="161"/>
            </w:pPr>
            <w:r>
              <w:rPr>
                <w:rFonts w:hint="eastAsia"/>
                <w:spacing w:val="-1"/>
                <w:lang w:eastAsia="zh-CN"/>
              </w:rPr>
              <w:t>2026.01</w:t>
            </w:r>
            <w:r>
              <w:rPr>
                <w:rFonts w:hint="eastAsia"/>
                <w:spacing w:val="-1"/>
                <w:lang w:val="en-US" w:eastAsia="zh-CN"/>
              </w:rPr>
              <w:t>.13</w:t>
            </w:r>
          </w:p>
        </w:tc>
        <w:tc>
          <w:tcPr>
            <w:tcW w:w="1017" w:type="dxa"/>
          </w:tcPr>
          <w:p w14:paraId="7B4EBEDA">
            <w:pPr>
              <w:pStyle w:val="27"/>
              <w:spacing w:before="230" w:line="220" w:lineRule="auto"/>
              <w:ind w:left="202"/>
            </w:pPr>
            <w:r>
              <w:rPr>
                <w:spacing w:val="-3"/>
              </w:rPr>
              <w:t>陈垒</w:t>
            </w:r>
          </w:p>
        </w:tc>
        <w:tc>
          <w:tcPr>
            <w:tcW w:w="1482" w:type="dxa"/>
          </w:tcPr>
          <w:p w14:paraId="552FA59F">
            <w:pPr>
              <w:pStyle w:val="27"/>
              <w:spacing w:before="230" w:line="237" w:lineRule="auto"/>
              <w:ind w:left="220"/>
            </w:pPr>
            <w:r>
              <w:rPr>
                <w:rFonts w:hint="eastAsia"/>
                <w:spacing w:val="-1"/>
                <w:lang w:eastAsia="zh-CN"/>
              </w:rPr>
              <w:t>2026.01</w:t>
            </w:r>
            <w:r>
              <w:rPr>
                <w:rFonts w:hint="eastAsia"/>
                <w:spacing w:val="-1"/>
                <w:lang w:val="en-US" w:eastAsia="zh-CN"/>
              </w:rPr>
              <w:t>.13</w:t>
            </w:r>
          </w:p>
        </w:tc>
        <w:tc>
          <w:tcPr>
            <w:tcW w:w="1172" w:type="dxa"/>
            <w:tcBorders>
              <w:right w:val="single" w:color="000000" w:sz="10" w:space="0"/>
            </w:tcBorders>
          </w:tcPr>
          <w:p w14:paraId="5436920D">
            <w:pPr>
              <w:pStyle w:val="27"/>
              <w:spacing w:before="230" w:line="217" w:lineRule="auto"/>
              <w:ind w:left="341"/>
            </w:pPr>
            <w:r>
              <w:rPr>
                <w:spacing w:val="-5"/>
              </w:rPr>
              <w:t>首次发布</w:t>
            </w:r>
          </w:p>
        </w:tc>
      </w:tr>
      <w:tr w14:paraId="317CE85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17CD3D82">
            <w:pPr>
              <w:pStyle w:val="27"/>
              <w:spacing w:before="152" w:line="237" w:lineRule="auto"/>
              <w:ind w:left="195"/>
            </w:pPr>
          </w:p>
        </w:tc>
        <w:tc>
          <w:tcPr>
            <w:tcW w:w="881" w:type="dxa"/>
          </w:tcPr>
          <w:p w14:paraId="44DF6B59">
            <w:pPr>
              <w:pStyle w:val="27"/>
              <w:spacing w:before="152" w:line="219" w:lineRule="auto"/>
              <w:ind w:left="125"/>
            </w:pPr>
          </w:p>
        </w:tc>
        <w:tc>
          <w:tcPr>
            <w:tcW w:w="1274" w:type="dxa"/>
          </w:tcPr>
          <w:p w14:paraId="60B02970">
            <w:pPr>
              <w:pStyle w:val="27"/>
              <w:spacing w:before="152" w:line="237" w:lineRule="auto"/>
              <w:ind w:left="210"/>
            </w:pPr>
          </w:p>
        </w:tc>
        <w:tc>
          <w:tcPr>
            <w:tcW w:w="957" w:type="dxa"/>
          </w:tcPr>
          <w:p w14:paraId="334EB3FB">
            <w:pPr>
              <w:pStyle w:val="27"/>
              <w:spacing w:before="152" w:line="219" w:lineRule="auto"/>
              <w:ind w:left="168"/>
            </w:pPr>
          </w:p>
        </w:tc>
        <w:tc>
          <w:tcPr>
            <w:tcW w:w="1377" w:type="dxa"/>
          </w:tcPr>
          <w:p w14:paraId="513650FD">
            <w:pPr>
              <w:pStyle w:val="27"/>
              <w:spacing w:before="152" w:line="237" w:lineRule="auto"/>
              <w:ind w:left="267"/>
            </w:pPr>
          </w:p>
        </w:tc>
        <w:tc>
          <w:tcPr>
            <w:tcW w:w="1017" w:type="dxa"/>
          </w:tcPr>
          <w:p w14:paraId="76269787">
            <w:pPr>
              <w:pStyle w:val="27"/>
              <w:spacing w:before="152" w:line="220" w:lineRule="auto"/>
              <w:ind w:left="202"/>
            </w:pPr>
          </w:p>
        </w:tc>
        <w:tc>
          <w:tcPr>
            <w:tcW w:w="1482" w:type="dxa"/>
          </w:tcPr>
          <w:p w14:paraId="1096EE0A">
            <w:pPr>
              <w:pStyle w:val="27"/>
              <w:spacing w:before="152" w:line="237" w:lineRule="auto"/>
              <w:ind w:left="220"/>
            </w:pPr>
          </w:p>
        </w:tc>
        <w:tc>
          <w:tcPr>
            <w:tcW w:w="1172" w:type="dxa"/>
            <w:tcBorders>
              <w:right w:val="single" w:color="000000" w:sz="10" w:space="0"/>
            </w:tcBorders>
          </w:tcPr>
          <w:p w14:paraId="65CAA580">
            <w:pPr>
              <w:pStyle w:val="27"/>
              <w:spacing w:before="152" w:line="219" w:lineRule="auto"/>
              <w:ind w:left="436"/>
            </w:pPr>
          </w:p>
        </w:tc>
      </w:tr>
      <w:tr w14:paraId="0FD6740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730D4441">
            <w:pPr>
              <w:pStyle w:val="27"/>
              <w:spacing w:before="157" w:line="237" w:lineRule="auto"/>
              <w:ind w:left="195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6E8C8557">
            <w:pPr>
              <w:pStyle w:val="27"/>
              <w:spacing w:before="157" w:line="219" w:lineRule="auto"/>
              <w:ind w:left="125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21EB6491">
            <w:pPr>
              <w:pStyle w:val="27"/>
              <w:spacing w:before="157" w:line="237" w:lineRule="auto"/>
              <w:ind w:left="210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518DE8A6">
            <w:pPr>
              <w:pStyle w:val="27"/>
              <w:spacing w:before="157" w:line="218" w:lineRule="auto"/>
              <w:ind w:left="164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094DF0EA">
            <w:pPr>
              <w:pStyle w:val="27"/>
              <w:spacing w:before="157" w:line="237" w:lineRule="auto"/>
              <w:ind w:left="267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68E541DD">
            <w:pPr>
              <w:pStyle w:val="27"/>
              <w:spacing w:before="157" w:line="220" w:lineRule="auto"/>
              <w:ind w:left="202"/>
            </w:pPr>
          </w:p>
        </w:tc>
        <w:tc>
          <w:tcPr>
            <w:tcW w:w="1482" w:type="dxa"/>
            <w:tcBorders>
              <w:bottom w:val="single" w:color="000000" w:sz="10" w:space="0"/>
            </w:tcBorders>
          </w:tcPr>
          <w:p w14:paraId="45B8F93E">
            <w:pPr>
              <w:pStyle w:val="27"/>
              <w:spacing w:before="157" w:line="237" w:lineRule="auto"/>
              <w:ind w:left="220"/>
            </w:pPr>
          </w:p>
        </w:tc>
        <w:tc>
          <w:tcPr>
            <w:tcW w:w="1172" w:type="dxa"/>
            <w:tcBorders>
              <w:bottom w:val="single" w:color="000000" w:sz="10" w:space="0"/>
              <w:right w:val="single" w:color="000000" w:sz="10" w:space="0"/>
            </w:tcBorders>
          </w:tcPr>
          <w:p w14:paraId="689DD8EE">
            <w:pPr>
              <w:pStyle w:val="27"/>
              <w:spacing w:before="157" w:line="219" w:lineRule="auto"/>
              <w:ind w:left="436"/>
            </w:pPr>
          </w:p>
        </w:tc>
      </w:tr>
    </w:tbl>
    <w:p w14:paraId="03058F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11010686">
      <w:pPr>
        <w:pStyle w:val="30"/>
        <w:bidi w:val="0"/>
      </w:pPr>
      <w:bookmarkStart w:id="0" w:name="heading_1"/>
      <w:r>
        <w:t>评审目的</w:t>
      </w:r>
      <w:bookmarkEnd w:id="0"/>
    </w:p>
    <w:p w14:paraId="7B5C3FCF">
      <w:pPr>
        <w:pStyle w:val="29"/>
        <w:bidi w:val="0"/>
      </w:pPr>
      <w:r>
        <w:t>评价公司运维管理体系的适宜性、充分性、有效性，识别改进和变更需求，实现公司运维服务管理体系的持续改进。</w:t>
      </w:r>
    </w:p>
    <w:p w14:paraId="4248E5AD">
      <w:pPr>
        <w:pStyle w:val="30"/>
        <w:bidi w:val="0"/>
      </w:pPr>
      <w:bookmarkStart w:id="1" w:name="heading_2"/>
      <w:r>
        <w:t>评审依据</w:t>
      </w:r>
      <w:bookmarkEnd w:id="1"/>
    </w:p>
    <w:p w14:paraId="656FD467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《信息技术服务 运行维护服务能力成熟度模型》三级</w:t>
      </w:r>
    </w:p>
    <w:p w14:paraId="76105A42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公司《运维服务管理评审程序》</w:t>
      </w:r>
    </w:p>
    <w:p w14:paraId="079929B5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公司《运维服务能力指标体系》</w:t>
      </w:r>
    </w:p>
    <w:p w14:paraId="0D0622FE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客户、员工及管理层的期望</w:t>
      </w:r>
    </w:p>
    <w:p w14:paraId="43B6055A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内部管理体系审核的结果</w:t>
      </w:r>
    </w:p>
    <w:p w14:paraId="2CA8525B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内外部环境变化及对持续改进的承诺</w:t>
      </w:r>
    </w:p>
    <w:p w14:paraId="2DF8B1DA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相适用的法律法规</w:t>
      </w:r>
    </w:p>
    <w:p w14:paraId="35EC3178">
      <w:pPr>
        <w:pStyle w:val="30"/>
        <w:bidi w:val="0"/>
      </w:pPr>
      <w:bookmarkStart w:id="2" w:name="heading_3"/>
      <w:r>
        <w:t>评审形式</w:t>
      </w:r>
      <w:bookmarkEnd w:id="2"/>
    </w:p>
    <w:p w14:paraId="6FD0AAF2">
      <w:pPr>
        <w:pStyle w:val="29"/>
        <w:bidi w:val="0"/>
      </w:pPr>
      <w:r>
        <w:t>采用会议评审的形式，对评审内容进行讨论、分析、评价，最终确认结果并形成管理评审报告。</w:t>
      </w:r>
    </w:p>
    <w:p w14:paraId="5165DE69">
      <w:pPr>
        <w:pStyle w:val="30"/>
        <w:bidi w:val="0"/>
      </w:pPr>
      <w:bookmarkStart w:id="3" w:name="heading_4"/>
      <w:r>
        <w:t>评审时间及地点</w:t>
      </w:r>
      <w:bookmarkEnd w:id="3"/>
    </w:p>
    <w:p w14:paraId="78066BD1">
      <w:pPr>
        <w:pStyle w:val="29"/>
        <w:numPr>
          <w:ilvl w:val="0"/>
          <w:numId w:val="3"/>
        </w:numPr>
        <w:bidi w:val="0"/>
        <w:ind w:left="425" w:leftChars="0" w:hanging="425" w:firstLineChars="0"/>
      </w:pPr>
      <w:r>
        <w:t>时间：202</w:t>
      </w:r>
      <w:r>
        <w:rPr>
          <w:rFonts w:hint="eastAsia"/>
          <w:lang w:val="en-US" w:eastAsia="zh-CN"/>
        </w:rPr>
        <w:t>5</w:t>
      </w:r>
      <w:r>
        <w:t>年</w:t>
      </w:r>
      <w:r>
        <w:rPr>
          <w:rFonts w:hint="eastAsia"/>
          <w:lang w:val="en-US" w:eastAsia="zh-CN"/>
        </w:rPr>
        <w:t>1</w:t>
      </w:r>
      <w:r>
        <w:t>月</w:t>
      </w:r>
      <w:r>
        <w:rPr>
          <w:rFonts w:hint="eastAsia"/>
          <w:lang w:val="en-US" w:eastAsia="zh-CN"/>
        </w:rPr>
        <w:t>20</w:t>
      </w:r>
      <w:r>
        <w:t>日</w:t>
      </w:r>
    </w:p>
    <w:p w14:paraId="346AE2B7">
      <w:pPr>
        <w:pStyle w:val="29"/>
        <w:numPr>
          <w:ilvl w:val="0"/>
          <w:numId w:val="3"/>
        </w:numPr>
        <w:bidi w:val="0"/>
        <w:ind w:left="425" w:leftChars="0" w:hanging="425" w:firstLineChars="0"/>
      </w:pPr>
      <w:r>
        <w:t>地点：公司第二会议室</w:t>
      </w:r>
    </w:p>
    <w:p w14:paraId="72D9ABA0">
      <w:pPr>
        <w:pStyle w:val="30"/>
        <w:bidi w:val="0"/>
      </w:pPr>
      <w:bookmarkStart w:id="4" w:name="heading_5"/>
      <w:r>
        <w:t>参加评审部门（人员）</w:t>
      </w:r>
      <w:bookmarkEnd w:id="4"/>
    </w:p>
    <w:p w14:paraId="246FCEFB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会议主持：总经理 陈垒</w:t>
      </w:r>
    </w:p>
    <w:p w14:paraId="301477D1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体系覆盖部门负责人：</w:t>
      </w:r>
      <w:r>
        <w:rPr>
          <w:rFonts w:hint="eastAsia"/>
        </w:rPr>
        <w:t>赵川华</w:t>
      </w:r>
      <w:r>
        <w:rPr>
          <w:rFonts w:hint="eastAsia"/>
          <w:lang w:val="en-US" w:eastAsia="zh-CN"/>
        </w:rPr>
        <w:t>.、</w:t>
      </w:r>
      <w:r>
        <w:rPr>
          <w:rFonts w:hint="eastAsia"/>
        </w:rPr>
        <w:t>刘鑫楠</w:t>
      </w:r>
      <w:r>
        <w:rPr>
          <w:rFonts w:hint="eastAsia"/>
          <w:lang w:eastAsia="zh-CN"/>
        </w:rPr>
        <w:t>、</w:t>
      </w:r>
      <w:r>
        <w:rPr>
          <w:rFonts w:hint="eastAsia"/>
        </w:rPr>
        <w:t>李欣雨</w:t>
      </w:r>
      <w:r>
        <w:rPr>
          <w:rFonts w:hint="eastAsia"/>
          <w:lang w:eastAsia="zh-CN"/>
        </w:rPr>
        <w:t>、</w:t>
      </w:r>
      <w:r>
        <w:rPr>
          <w:rFonts w:hint="eastAsia"/>
        </w:rPr>
        <w:t>郑运龙</w:t>
      </w:r>
      <w:r>
        <w:rPr>
          <w:rFonts w:hint="eastAsia"/>
          <w:lang w:eastAsia="zh-CN"/>
        </w:rPr>
        <w:t>。</w:t>
      </w:r>
    </w:p>
    <w:p w14:paraId="39AFBC4E">
      <w:pPr>
        <w:pStyle w:val="30"/>
        <w:bidi w:val="0"/>
      </w:pPr>
      <w:bookmarkStart w:id="5" w:name="heading_6"/>
      <w:r>
        <w:t>管理评审计划输入的准备</w:t>
      </w:r>
      <w:bookmarkEnd w:id="5"/>
    </w:p>
    <w:p w14:paraId="74135586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t>公司各项管理目标（指标）的实现情况</w:t>
      </w:r>
    </w:p>
    <w:p w14:paraId="56557CBD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t>运维服务的评价选择及履约状况</w:t>
      </w:r>
    </w:p>
    <w:p w14:paraId="40622887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t>对各职能部门管理活动监督检查情况的综合分析</w:t>
      </w:r>
    </w:p>
    <w:p w14:paraId="7D6FFC59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t>内部和外部管理体系审核结果（包括审核中发现的不符合项及分布情况）</w:t>
      </w:r>
    </w:p>
    <w:p w14:paraId="5111CD2C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t>上次管理评审提出改进措施的落实情况</w:t>
      </w:r>
    </w:p>
    <w:p w14:paraId="73465FFA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t>可能影响管理体系的变更情况以及改进建议等</w:t>
      </w:r>
    </w:p>
    <w:p w14:paraId="290A8994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rPr>
          <w:rFonts w:hint="eastAsia"/>
          <w:lang w:eastAsia="zh-CN"/>
        </w:rPr>
        <w:t>质量部</w:t>
      </w:r>
      <w:r>
        <w:t>其他相关信息的收集、分析和利用等</w:t>
      </w:r>
    </w:p>
    <w:p w14:paraId="2D50C135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t>运维服务的符合性（满足运维有关方、法律法规及公司自身要求的符合性），包括质量创优活动等</w:t>
      </w:r>
    </w:p>
    <w:p w14:paraId="24772780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t>对运维服务能力管理活动监督检查情况分析</w:t>
      </w:r>
    </w:p>
    <w:p w14:paraId="207833BF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t>运维服务质量的纠正措施和预防措施状况</w:t>
      </w:r>
    </w:p>
    <w:p w14:paraId="719296BB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t>运维服务有关方（顾客）对运维服务质量的满意程度，以及提高顾客满意的改进措施和实施情况、建议等</w:t>
      </w:r>
    </w:p>
    <w:p w14:paraId="4C5AE7DB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t>运维服务合同履约情况分析</w:t>
      </w:r>
    </w:p>
    <w:p w14:paraId="3FF7B730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t>过程管理的符合性（满足运维相关方、法律法规及公司自身要求的符合性），包括质量创优活动等</w:t>
      </w:r>
    </w:p>
    <w:p w14:paraId="525D4D36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t>对过程管理活动监控情况分析</w:t>
      </w:r>
    </w:p>
    <w:p w14:paraId="1DCEA6B0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t>对</w:t>
      </w:r>
      <w:r>
        <w:rPr>
          <w:rFonts w:hint="eastAsia"/>
          <w:lang w:val="en-US" w:eastAsia="zh-CN"/>
        </w:rPr>
        <w:t>服务知识</w:t>
      </w:r>
      <w:r>
        <w:t>管理活动监控情况分析</w:t>
      </w:r>
    </w:p>
    <w:p w14:paraId="7DB81302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t>对服务台管理活动监督检查情况分析</w:t>
      </w:r>
    </w:p>
    <w:p w14:paraId="1F7A76EF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t>运维服务项目备品备件的采购或租赁管理情况，包括对供方的评价</w:t>
      </w:r>
    </w:p>
    <w:p w14:paraId="60DEC2A8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t>备品备件采购的总结分析，包括对供方的评价选择和再评价情况</w:t>
      </w:r>
    </w:p>
    <w:p w14:paraId="320976A1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t>备品备件的库房管理进行监督检查的情况</w:t>
      </w:r>
    </w:p>
    <w:p w14:paraId="13FD6B69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t>备品备件采购和管理的其他相关信息的收集、分析和利用</w:t>
      </w:r>
    </w:p>
    <w:p w14:paraId="17B75FAE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rPr>
          <w:rFonts w:hint="eastAsia"/>
          <w:lang w:val="en-US" w:eastAsia="zh-CN"/>
        </w:rPr>
        <w:t>最终软件库应用情况总结</w:t>
      </w:r>
    </w:p>
    <w:p w14:paraId="0DBFE850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rPr>
          <w:rFonts w:hint="eastAsia"/>
          <w:lang w:val="en-US" w:eastAsia="zh-CN"/>
        </w:rPr>
        <w:t>服务数据应用情况总结</w:t>
      </w:r>
    </w:p>
    <w:p w14:paraId="6BB057AF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rPr>
          <w:rFonts w:hint="eastAsia"/>
          <w:lang w:val="en-US" w:eastAsia="zh-CN"/>
        </w:rPr>
        <w:t>研发部所提供的</w:t>
      </w:r>
      <w:r>
        <w:t>研发状况分析</w:t>
      </w:r>
    </w:p>
    <w:p w14:paraId="54C1B8F8">
      <w:pPr>
        <w:pStyle w:val="30"/>
        <w:bidi w:val="0"/>
      </w:pPr>
      <w:bookmarkStart w:id="6" w:name="heading_7"/>
      <w:r>
        <w:t>管理评审输出</w:t>
      </w:r>
      <w:bookmarkEnd w:id="6"/>
    </w:p>
    <w:p w14:paraId="3B8AC5D7">
      <w:pPr>
        <w:pStyle w:val="29"/>
        <w:bidi w:val="0"/>
      </w:pPr>
      <w:r>
        <w:t>包括与以下方面有关的决定与措施：</w:t>
      </w:r>
    </w:p>
    <w:p w14:paraId="21D2181E">
      <w:pPr>
        <w:pStyle w:val="29"/>
        <w:bidi w:val="0"/>
      </w:pPr>
      <w:r>
        <w:t>管理方针和目标符合性的结论</w:t>
      </w:r>
    </w:p>
    <w:p w14:paraId="23689093">
      <w:pPr>
        <w:pStyle w:val="29"/>
        <w:bidi w:val="0"/>
      </w:pPr>
      <w:r>
        <w:t>为提高管理体系和过程的有效性的决定和措施</w:t>
      </w:r>
    </w:p>
    <w:p w14:paraId="07BF2C39">
      <w:pPr>
        <w:pStyle w:val="29"/>
        <w:bidi w:val="0"/>
      </w:pPr>
      <w:r>
        <w:t>提高顾客满意度对运维服务质量改进的决定和措施</w:t>
      </w:r>
    </w:p>
    <w:p w14:paraId="755ED8F2">
      <w:pPr>
        <w:pStyle w:val="29"/>
        <w:bidi w:val="0"/>
      </w:pPr>
      <w:r>
        <w:t>改进运维服务绩效的决定和措施</w:t>
      </w:r>
    </w:p>
    <w:p w14:paraId="7215A032">
      <w:pPr>
        <w:pStyle w:val="29"/>
        <w:bidi w:val="0"/>
      </w:pPr>
      <w:r>
        <w:t>管理体系各项资源配置的决定和措施</w:t>
      </w:r>
    </w:p>
    <w:p w14:paraId="63C2BE5F">
      <w:pPr>
        <w:pStyle w:val="29"/>
        <w:bidi w:val="0"/>
      </w:pPr>
      <w:r>
        <w:t>对管理体系持续的适宜性、充分性和有效性的总体评价</w:t>
      </w:r>
    </w:p>
    <w:p w14:paraId="7D698802">
      <w:pPr>
        <w:pStyle w:val="30"/>
        <w:bidi w:val="0"/>
      </w:pPr>
      <w:bookmarkStart w:id="7" w:name="heading_8"/>
      <w:r>
        <w:t>评审准备工作要求</w:t>
      </w:r>
      <w:bookmarkEnd w:id="7"/>
    </w:p>
    <w:p w14:paraId="4E7F09FD">
      <w:pPr>
        <w:pStyle w:val="29"/>
        <w:bidi w:val="0"/>
      </w:pPr>
      <w:r>
        <w:t>各部门需根据《运维服务管理评审程序》及上述评审内容提纲要求，准备管理评审总结及见证性材料。请于202</w:t>
      </w:r>
      <w:r>
        <w:rPr>
          <w:rFonts w:hint="eastAsia"/>
          <w:lang w:val="en-US" w:eastAsia="zh-CN"/>
        </w:rPr>
        <w:t>6</w:t>
      </w:r>
      <w:r>
        <w:t>年</w:t>
      </w:r>
      <w:r>
        <w:rPr>
          <w:rFonts w:hint="eastAsia"/>
          <w:lang w:val="en-US" w:eastAsia="zh-CN"/>
        </w:rPr>
        <w:t>1</w:t>
      </w:r>
      <w:r>
        <w:t>月</w:t>
      </w:r>
      <w:r>
        <w:rPr>
          <w:rFonts w:hint="eastAsia"/>
          <w:lang w:val="en-US" w:eastAsia="zh-CN"/>
        </w:rPr>
        <w:t>19</w:t>
      </w:r>
      <w:r>
        <w:t>日前将质量目标统计资料和内审结论交至综合管理部</w:t>
      </w:r>
      <w:r>
        <w:rPr>
          <w:rFonts w:hint="eastAsia"/>
          <w:lang w:eastAsia="zh-CN"/>
        </w:rPr>
        <w:t>质量部</w:t>
      </w:r>
      <w:r>
        <w:t>；内审不符合项责任部门需提交近期整改情况和验证结论文件。</w:t>
      </w:r>
    </w:p>
    <w:p w14:paraId="6508A2A4">
      <w:pPr>
        <w:pStyle w:val="30"/>
        <w:bidi w:val="0"/>
      </w:pPr>
      <w:bookmarkStart w:id="8" w:name="heading_9"/>
      <w:r>
        <w:t>管理评审报告的完成日期</w:t>
      </w:r>
      <w:bookmarkEnd w:id="8"/>
    </w:p>
    <w:p w14:paraId="673CD227">
      <w:pPr>
        <w:pStyle w:val="29"/>
        <w:bidi w:val="0"/>
      </w:pPr>
      <w:r>
        <w:t>评审会后一周之内形成管理评审报告，并下发实施。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17B9FF"/>
    <w:multiLevelType w:val="singleLevel"/>
    <w:tmpl w:val="8D17B9F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B2724AEA"/>
    <w:multiLevelType w:val="singleLevel"/>
    <w:tmpl w:val="B2724AE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DCA4350"/>
    <w:multiLevelType w:val="singleLevel"/>
    <w:tmpl w:val="FDCA435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36ACC553"/>
    <w:multiLevelType w:val="singleLevel"/>
    <w:tmpl w:val="36ACC55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E1B5754"/>
    <w:rsid w:val="2A412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table" w:customStyle="1" w:styleId="28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1"/>
    <w:basedOn w:val="2"/>
    <w:next w:val="29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1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30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1182</Words>
  <Characters>1268</Characters>
  <Lines>0</Lines>
  <Paragraphs>0</Paragraphs>
  <TotalTime>3</TotalTime>
  <ScaleCrop>false</ScaleCrop>
  <LinksUpToDate>false</LinksUpToDate>
  <CharactersWithSpaces>1271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2025-12-13T03:17:00Z</dcterms:created>
  <dc:creator>郝宇</dc:creator>
  <cp:lastModifiedBy>郝宇</cp:lastModifiedBy>
  <dcterms:modified xsi:type="dcterms:W3CDTF">2026-02-16T14:47:36Z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341D1C7ED3A1444E8EA73691394D44B6_11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