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A83F5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3D37C36F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运维服务质量管理计划</w:t>
      </w:r>
    </w:p>
    <w:p w14:paraId="12B55619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（HXDL-ITSS-0417）</w:t>
      </w:r>
    </w:p>
    <w:p w14:paraId="6848626F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D467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78408A6E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351436B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  <w:tr w14:paraId="44181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380810C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6CEBAFB0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  <w:tr w14:paraId="41DA6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1CA7DE4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200DA34C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</w:tbl>
    <w:p w14:paraId="3AE8E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E7C55E2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52EF3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33A1EC76">
            <w:pPr>
              <w:spacing w:line="350" w:lineRule="auto"/>
              <w:rPr>
                <w:rFonts w:ascii="Arial"/>
                <w:sz w:val="21"/>
              </w:rPr>
            </w:pPr>
          </w:p>
          <w:p w14:paraId="0D29AA24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92D1DCB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62C13F0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3BD3FC6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4BC68AF">
            <w:pPr>
              <w:spacing w:line="350" w:lineRule="auto"/>
              <w:rPr>
                <w:rFonts w:ascii="Arial"/>
                <w:sz w:val="21"/>
              </w:rPr>
            </w:pPr>
          </w:p>
          <w:p w14:paraId="482F2A7F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4C0CEA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B784055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17204EA3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42A6956D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1D295353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1674D9AA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146744FC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1D37F5F7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7F518E92">
            <w:pPr>
              <w:rPr>
                <w:rFonts w:ascii="Arial"/>
                <w:sz w:val="21"/>
              </w:rPr>
            </w:pPr>
          </w:p>
        </w:tc>
      </w:tr>
      <w:tr w14:paraId="1CDA6C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6A66240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16C1918B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36C411E2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2025.07</w:t>
            </w:r>
            <w:r>
              <w:rPr>
                <w:rFonts w:hint="eastAsia"/>
                <w:spacing w:val="-1"/>
                <w:lang w:val="en-US" w:eastAsia="zh-CN"/>
              </w:rPr>
              <w:t>.07</w:t>
            </w:r>
          </w:p>
        </w:tc>
        <w:tc>
          <w:tcPr>
            <w:tcW w:w="957" w:type="dxa"/>
          </w:tcPr>
          <w:p w14:paraId="778A4235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1AC55004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2025.07</w:t>
            </w:r>
            <w:r>
              <w:rPr>
                <w:rFonts w:hint="eastAsia"/>
                <w:spacing w:val="-1"/>
                <w:lang w:val="en-US" w:eastAsia="zh-CN"/>
              </w:rPr>
              <w:t>.07</w:t>
            </w:r>
          </w:p>
        </w:tc>
        <w:tc>
          <w:tcPr>
            <w:tcW w:w="1017" w:type="dxa"/>
          </w:tcPr>
          <w:p w14:paraId="1248D775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0F07D140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2025.07</w:t>
            </w:r>
            <w:r>
              <w:rPr>
                <w:rFonts w:hint="eastAsia"/>
                <w:spacing w:val="-1"/>
                <w:lang w:val="en-US" w:eastAsia="zh-CN"/>
              </w:rPr>
              <w:t>.07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056D2E24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26BB22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B5C0F0B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574490A0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2D66DE93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61527B54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7F979481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6AC21E02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1FAEDF8E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52FD0309">
            <w:pPr>
              <w:pStyle w:val="27"/>
              <w:spacing w:before="152" w:line="219" w:lineRule="auto"/>
              <w:ind w:left="436"/>
            </w:pPr>
          </w:p>
        </w:tc>
      </w:tr>
      <w:tr w14:paraId="254BA4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57013EA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5DF1D0EF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794909CF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FB7CC8A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C7AD2FF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610657E8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36F6FFE6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152CF72F">
            <w:pPr>
              <w:pStyle w:val="27"/>
              <w:spacing w:before="157" w:line="219" w:lineRule="auto"/>
              <w:ind w:left="436"/>
            </w:pPr>
          </w:p>
        </w:tc>
      </w:tr>
    </w:tbl>
    <w:p w14:paraId="59EA4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3B15F2A">
      <w:pPr>
        <w:pStyle w:val="30"/>
        <w:bidi w:val="0"/>
      </w:pPr>
      <w:bookmarkStart w:id="0" w:name="_Toc23710"/>
      <w:r>
        <w:t>目的</w:t>
      </w:r>
      <w:bookmarkEnd w:id="0"/>
    </w:p>
    <w:p w14:paraId="6872E8F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6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依据我公司运维服务业务定位和能力，策划运行维护服务对象的服务</w:t>
      </w:r>
      <w:r>
        <w:rPr>
          <w:rFonts w:ascii="宋体" w:hAnsi="宋体" w:eastAsia="宋体" w:cs="宋体"/>
          <w:spacing w:val="-4"/>
          <w:sz w:val="24"/>
          <w:szCs w:val="24"/>
        </w:rPr>
        <w:t>内容和要求，提高服务质量特制定此服务目录。</w:t>
      </w:r>
    </w:p>
    <w:p w14:paraId="5BECD588">
      <w:pPr>
        <w:pStyle w:val="30"/>
        <w:bidi w:val="0"/>
      </w:pPr>
      <w:bookmarkStart w:id="1" w:name="_Toc25913"/>
      <w:r>
        <w:t>适用范围</w:t>
      </w:r>
      <w:bookmarkEnd w:id="1"/>
    </w:p>
    <w:p w14:paraId="6AB917B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本手册适用于本公司参与运维服务业务的部门和人员</w:t>
      </w:r>
    </w:p>
    <w:p w14:paraId="5F20E81E">
      <w:pPr>
        <w:pStyle w:val="30"/>
        <w:bidi w:val="0"/>
      </w:pPr>
      <w:bookmarkStart w:id="2" w:name="_Toc13875"/>
      <w:r>
        <w:t>引用文件</w:t>
      </w:r>
      <w:bookmarkEnd w:id="2"/>
    </w:p>
    <w:p w14:paraId="5B8308D6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position w:val="1"/>
          <w:sz w:val="24"/>
          <w:szCs w:val="24"/>
        </w:rPr>
        <w:t>T/CESA 1299—2023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运行维护服务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能力成熟度模型》</w:t>
      </w:r>
    </w:p>
    <w:p w14:paraId="02E52922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>GB/T 28827.1-2</w:t>
      </w:r>
      <w:r>
        <w:rPr>
          <w:spacing w:val="-1"/>
          <w:position w:val="1"/>
          <w:sz w:val="24"/>
          <w:szCs w:val="24"/>
        </w:rPr>
        <w:t>0</w:t>
      </w:r>
      <w:r>
        <w:rPr>
          <w:rFonts w:hint="eastAsia" w:eastAsia="宋体"/>
          <w:spacing w:val="-1"/>
          <w:position w:val="1"/>
          <w:sz w:val="24"/>
          <w:szCs w:val="24"/>
          <w:lang w:val="en-US" w:eastAsia="zh-CN"/>
        </w:rPr>
        <w:t>2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1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部分：通用要求》</w:t>
      </w:r>
    </w:p>
    <w:p w14:paraId="66F665CB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29264-2012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12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分类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与代码》</w:t>
      </w:r>
    </w:p>
    <w:p w14:paraId="048A4615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28827.2-2012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部分</w:t>
      </w:r>
      <w:r>
        <w:rPr>
          <w:position w:val="1"/>
          <w:sz w:val="24"/>
          <w:szCs w:val="24"/>
        </w:rPr>
        <w:t>:</w:t>
      </w:r>
      <w:r>
        <w:rPr>
          <w:rFonts w:ascii="宋体" w:hAnsi="宋体" w:eastAsia="宋体" w:cs="宋体"/>
          <w:position w:val="1"/>
          <w:sz w:val="24"/>
          <w:szCs w:val="24"/>
        </w:rPr>
        <w:t>交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付规范》</w:t>
      </w:r>
    </w:p>
    <w:p w14:paraId="063E5953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1"/>
          <w:sz w:val="24"/>
          <w:szCs w:val="24"/>
        </w:rPr>
        <w:t>GB/T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28827.3-2012</w:t>
      </w:r>
      <w:r>
        <w:rPr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运行维护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1"/>
          <w:sz w:val="24"/>
          <w:szCs w:val="24"/>
        </w:rPr>
        <w:t>部分</w:t>
      </w:r>
      <w:r>
        <w:rPr>
          <w:spacing w:val="-1"/>
          <w:sz w:val="24"/>
          <w:szCs w:val="24"/>
        </w:rPr>
        <w:t>:</w:t>
      </w:r>
      <w:r>
        <w:rPr>
          <w:rFonts w:ascii="宋体" w:hAnsi="宋体" w:eastAsia="宋体" w:cs="宋体"/>
          <w:spacing w:val="-1"/>
          <w:sz w:val="24"/>
          <w:szCs w:val="24"/>
        </w:rPr>
        <w:t>应急响应规</w:t>
      </w:r>
      <w:r>
        <w:rPr>
          <w:rFonts w:ascii="宋体" w:hAnsi="宋体" w:eastAsia="宋体" w:cs="宋体"/>
          <w:spacing w:val="-8"/>
          <w:sz w:val="24"/>
          <w:szCs w:val="24"/>
        </w:rPr>
        <w:t>范》</w:t>
      </w:r>
    </w:p>
    <w:p w14:paraId="5B63C5A2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position w:val="1"/>
          <w:sz w:val="24"/>
          <w:szCs w:val="24"/>
        </w:rPr>
        <w:t>国家有关法律、法规及行业标准</w:t>
      </w:r>
    </w:p>
    <w:p w14:paraId="7C6D6690">
      <w:pPr>
        <w:pStyle w:val="30"/>
        <w:bidi w:val="0"/>
      </w:pPr>
      <w:bookmarkStart w:id="3" w:name="_Toc19670"/>
      <w:r>
        <w:t>术语与定义</w:t>
      </w:r>
      <w:bookmarkEnd w:id="3"/>
    </w:p>
    <w:p w14:paraId="7AADF8C7">
      <w:pPr>
        <w:spacing w:before="115" w:line="220" w:lineRule="auto"/>
        <w:ind w:left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02EA40C1">
      <w:pPr>
        <w:pStyle w:val="30"/>
        <w:bidi w:val="0"/>
      </w:pPr>
      <w:bookmarkStart w:id="4" w:name="_Toc20070"/>
      <w:r>
        <w:t>角色与职责</w:t>
      </w:r>
      <w:bookmarkEnd w:id="4"/>
    </w:p>
    <w:p w14:paraId="3DD35FFF">
      <w:pPr>
        <w:spacing w:before="157"/>
      </w:pPr>
    </w:p>
    <w:tbl>
      <w:tblPr>
        <w:tblStyle w:val="28"/>
        <w:tblW w:w="8364" w:type="dxa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 w14:paraId="2FC5C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15" w:type="dxa"/>
            <w:shd w:val="clear" w:color="auto" w:fill="F2F2F2"/>
          </w:tcPr>
          <w:p w14:paraId="60690F33">
            <w:pPr>
              <w:pStyle w:val="27"/>
              <w:spacing w:before="125" w:line="219" w:lineRule="auto"/>
              <w:ind w:left="524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F2F2F2"/>
          </w:tcPr>
          <w:p w14:paraId="681D6501">
            <w:pPr>
              <w:pStyle w:val="27"/>
              <w:spacing w:before="126" w:line="221" w:lineRule="auto"/>
              <w:ind w:left="3188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 w14:paraId="03799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</w:tcPr>
          <w:p w14:paraId="42A0A882">
            <w:pPr>
              <w:spacing w:line="265" w:lineRule="auto"/>
              <w:rPr>
                <w:rFonts w:ascii="Arial"/>
                <w:sz w:val="21"/>
              </w:rPr>
            </w:pPr>
          </w:p>
          <w:p w14:paraId="0F422E72">
            <w:pPr>
              <w:spacing w:line="266" w:lineRule="auto"/>
              <w:rPr>
                <w:rFonts w:ascii="Arial"/>
                <w:sz w:val="21"/>
              </w:rPr>
            </w:pPr>
          </w:p>
          <w:p w14:paraId="29FFC6AF">
            <w:pPr>
              <w:pStyle w:val="27"/>
              <w:spacing w:before="78" w:line="220" w:lineRule="auto"/>
              <w:ind w:left="118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</w:tcPr>
          <w:p w14:paraId="2DC71B26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负责审批服务能力管理计划。</w:t>
            </w:r>
          </w:p>
          <w:p w14:paraId="3A4A3BA4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定期对服务实施过程和服务实施过程的改进进行监控管理。</w:t>
            </w:r>
          </w:p>
          <w:p w14:paraId="66BE9DBC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负责公司运维服务体系的管理评审，以确保运维服务能力适</w:t>
            </w:r>
          </w:p>
          <w:p w14:paraId="39076CFE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t>应性和有效性。</w:t>
            </w:r>
          </w:p>
        </w:tc>
      </w:tr>
      <w:tr w14:paraId="5B3CC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</w:tcPr>
          <w:p w14:paraId="5E16851B">
            <w:pPr>
              <w:spacing w:line="247" w:lineRule="auto"/>
              <w:rPr>
                <w:rFonts w:ascii="Arial"/>
                <w:sz w:val="21"/>
              </w:rPr>
            </w:pPr>
          </w:p>
          <w:p w14:paraId="73024147">
            <w:pPr>
              <w:spacing w:line="247" w:lineRule="auto"/>
              <w:rPr>
                <w:rFonts w:ascii="Arial"/>
                <w:sz w:val="21"/>
              </w:rPr>
            </w:pPr>
          </w:p>
          <w:p w14:paraId="534EECFD">
            <w:pPr>
              <w:spacing w:line="247" w:lineRule="auto"/>
              <w:rPr>
                <w:rFonts w:ascii="Arial"/>
                <w:sz w:val="21"/>
              </w:rPr>
            </w:pPr>
          </w:p>
          <w:p w14:paraId="18719078">
            <w:pPr>
              <w:spacing w:line="247" w:lineRule="auto"/>
              <w:rPr>
                <w:rFonts w:ascii="Arial"/>
                <w:sz w:val="21"/>
              </w:rPr>
            </w:pPr>
          </w:p>
          <w:p w14:paraId="75AAF261">
            <w:pPr>
              <w:spacing w:line="247" w:lineRule="auto"/>
              <w:rPr>
                <w:rFonts w:ascii="Arial"/>
                <w:sz w:val="21"/>
              </w:rPr>
            </w:pPr>
          </w:p>
          <w:p w14:paraId="60566B09">
            <w:pPr>
              <w:spacing w:line="247" w:lineRule="auto"/>
              <w:rPr>
                <w:rFonts w:ascii="Arial"/>
                <w:sz w:val="21"/>
              </w:rPr>
            </w:pPr>
          </w:p>
          <w:p w14:paraId="6023C007">
            <w:pPr>
              <w:spacing w:line="248" w:lineRule="auto"/>
              <w:rPr>
                <w:rFonts w:ascii="Arial"/>
                <w:sz w:val="21"/>
              </w:rPr>
            </w:pPr>
          </w:p>
          <w:p w14:paraId="260DA796">
            <w:pPr>
              <w:spacing w:line="248" w:lineRule="auto"/>
              <w:rPr>
                <w:rFonts w:ascii="Arial"/>
                <w:sz w:val="21"/>
              </w:rPr>
            </w:pPr>
          </w:p>
          <w:p w14:paraId="157BDF8B">
            <w:pPr>
              <w:spacing w:line="248" w:lineRule="auto"/>
              <w:rPr>
                <w:rFonts w:ascii="Arial"/>
                <w:sz w:val="21"/>
              </w:rPr>
            </w:pPr>
          </w:p>
          <w:p w14:paraId="3A0B0637">
            <w:pPr>
              <w:spacing w:line="248" w:lineRule="auto"/>
              <w:rPr>
                <w:rFonts w:ascii="Arial"/>
                <w:sz w:val="21"/>
              </w:rPr>
            </w:pPr>
          </w:p>
          <w:p w14:paraId="06C8025D">
            <w:pPr>
              <w:pStyle w:val="27"/>
              <w:spacing w:before="78" w:line="220" w:lineRule="auto"/>
              <w:ind w:left="11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2"/>
              </w:rPr>
              <w:t>质量部</w:t>
            </w:r>
          </w:p>
        </w:tc>
        <w:tc>
          <w:tcPr>
            <w:tcW w:w="6849" w:type="dxa"/>
            <w:shd w:val="clear" w:color="auto" w:fill="auto"/>
          </w:tcPr>
          <w:p w14:paraId="110E0439">
            <w:pPr>
              <w:pStyle w:val="27"/>
              <w:spacing w:before="113" w:line="302" w:lineRule="auto"/>
              <w:ind w:left="572" w:right="279" w:hanging="417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 w14:paraId="0155AD89">
            <w:pPr>
              <w:pStyle w:val="27"/>
              <w:spacing w:before="191" w:line="301" w:lineRule="auto"/>
              <w:ind w:left="570" w:right="103" w:hanging="41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 w14:paraId="3708D1E4">
            <w:pPr>
              <w:pStyle w:val="27"/>
              <w:spacing w:before="196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对公司运维服务业务的质量进行监控。</w:t>
            </w:r>
          </w:p>
          <w:p w14:paraId="5B545424">
            <w:pPr>
              <w:pStyle w:val="27"/>
              <w:spacing w:before="202" w:line="302" w:lineRule="auto"/>
              <w:ind w:left="573" w:right="279" w:hanging="418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 w14:paraId="4B21C6B7">
            <w:pPr>
              <w:pStyle w:val="27"/>
              <w:spacing w:before="19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负责改进措施的监督及检查。</w:t>
            </w:r>
          </w:p>
          <w:p w14:paraId="6ACCF165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对重大投诉进行原因分析、处理和回访。</w:t>
            </w:r>
          </w:p>
          <w:p w14:paraId="11AD982F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对运维服务报告进行审查。</w:t>
            </w:r>
          </w:p>
          <w:p w14:paraId="742BCB4B">
            <w:pPr>
              <w:pStyle w:val="27"/>
              <w:spacing w:before="203" w:line="220" w:lineRule="auto"/>
              <w:ind w:left="15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负责客户满意度调查。</w:t>
            </w:r>
          </w:p>
        </w:tc>
      </w:tr>
      <w:tr w14:paraId="61062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1AA7972E">
            <w:pPr>
              <w:spacing w:line="247" w:lineRule="auto"/>
              <w:rPr>
                <w:rFonts w:ascii="Arial"/>
                <w:sz w:val="21"/>
              </w:rPr>
            </w:pPr>
          </w:p>
          <w:p w14:paraId="286BF5AE">
            <w:pPr>
              <w:spacing w:line="247" w:lineRule="auto"/>
              <w:rPr>
                <w:rFonts w:ascii="Arial"/>
                <w:sz w:val="21"/>
              </w:rPr>
            </w:pPr>
          </w:p>
          <w:p w14:paraId="700442A7">
            <w:pPr>
              <w:spacing w:line="247" w:lineRule="auto"/>
              <w:rPr>
                <w:rFonts w:ascii="Arial"/>
                <w:sz w:val="21"/>
              </w:rPr>
            </w:pPr>
          </w:p>
          <w:p w14:paraId="454B3F34">
            <w:pPr>
              <w:spacing w:line="247" w:lineRule="auto"/>
              <w:rPr>
                <w:rFonts w:ascii="Arial"/>
                <w:sz w:val="21"/>
              </w:rPr>
            </w:pPr>
          </w:p>
          <w:p w14:paraId="45D55960">
            <w:pPr>
              <w:spacing w:line="247" w:lineRule="auto"/>
              <w:rPr>
                <w:rFonts w:ascii="Arial"/>
                <w:sz w:val="21"/>
              </w:rPr>
            </w:pPr>
          </w:p>
          <w:p w14:paraId="4423FEFC">
            <w:pPr>
              <w:spacing w:line="247" w:lineRule="auto"/>
              <w:rPr>
                <w:rFonts w:ascii="Arial"/>
                <w:sz w:val="21"/>
              </w:rPr>
            </w:pPr>
          </w:p>
          <w:p w14:paraId="4720A50D">
            <w:pPr>
              <w:spacing w:line="247" w:lineRule="auto"/>
              <w:rPr>
                <w:rFonts w:ascii="Arial"/>
                <w:sz w:val="21"/>
              </w:rPr>
            </w:pPr>
          </w:p>
          <w:p w14:paraId="0328CAD8">
            <w:pPr>
              <w:spacing w:line="247" w:lineRule="auto"/>
              <w:rPr>
                <w:rFonts w:ascii="Arial"/>
                <w:sz w:val="21"/>
              </w:rPr>
            </w:pPr>
          </w:p>
          <w:p w14:paraId="59BA3DD3">
            <w:pPr>
              <w:spacing w:line="248" w:lineRule="auto"/>
              <w:rPr>
                <w:rFonts w:ascii="Arial"/>
                <w:sz w:val="21"/>
              </w:rPr>
            </w:pPr>
          </w:p>
          <w:p w14:paraId="10286639">
            <w:pPr>
              <w:spacing w:line="248" w:lineRule="auto"/>
              <w:rPr>
                <w:rFonts w:ascii="Arial"/>
                <w:sz w:val="21"/>
              </w:rPr>
            </w:pPr>
          </w:p>
          <w:p w14:paraId="3DC95CA9">
            <w:pPr>
              <w:spacing w:line="248" w:lineRule="auto"/>
              <w:rPr>
                <w:rFonts w:ascii="Arial"/>
                <w:sz w:val="21"/>
              </w:rPr>
            </w:pPr>
          </w:p>
          <w:p w14:paraId="57901819">
            <w:pPr>
              <w:pStyle w:val="27"/>
              <w:spacing w:before="78" w:line="220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32BB4D8E">
            <w:pPr>
              <w:pStyle w:val="27"/>
              <w:spacing w:before="117" w:line="301" w:lineRule="auto"/>
              <w:ind w:left="571" w:right="159" w:hanging="416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 w14:paraId="1877FF30">
            <w:pPr>
              <w:pStyle w:val="27"/>
              <w:spacing w:before="194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定期组织召开质量分析会。</w:t>
            </w:r>
          </w:p>
          <w:p w14:paraId="29EFB271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跟踪客户投诉的处理过程。</w:t>
            </w:r>
          </w:p>
          <w:p w14:paraId="54F56FEA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定期编写总结报告，持续改进完善维护服务能力和质量。</w:t>
            </w:r>
          </w:p>
          <w:p w14:paraId="43F801C0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负责监控服务的处理过程。</w:t>
            </w:r>
          </w:p>
          <w:p w14:paraId="496389CB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对每个处理事件进行客户回访。</w:t>
            </w:r>
          </w:p>
          <w:p w14:paraId="0C152085">
            <w:pPr>
              <w:pStyle w:val="27"/>
              <w:spacing w:before="204" w:line="301" w:lineRule="auto"/>
              <w:ind w:left="573" w:right="279" w:hanging="418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 w14:paraId="5DD91568">
            <w:pPr>
              <w:pStyle w:val="27"/>
              <w:spacing w:before="195" w:line="326" w:lineRule="auto"/>
              <w:ind w:left="571" w:leftChars="0" w:right="279" w:rightChars="0" w:hanging="41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 w14:paraId="017E7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41DDCFB4">
            <w:pPr>
              <w:spacing w:line="269" w:lineRule="auto"/>
              <w:rPr>
                <w:rFonts w:ascii="Arial"/>
                <w:sz w:val="21"/>
              </w:rPr>
            </w:pPr>
          </w:p>
          <w:p w14:paraId="265F5F9A">
            <w:pPr>
              <w:spacing w:line="269" w:lineRule="auto"/>
              <w:rPr>
                <w:rFonts w:ascii="Arial"/>
                <w:sz w:val="21"/>
              </w:rPr>
            </w:pPr>
          </w:p>
          <w:p w14:paraId="611A90C8">
            <w:pPr>
              <w:pStyle w:val="27"/>
              <w:spacing w:before="78" w:line="220" w:lineRule="auto"/>
              <w:ind w:left="1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 w14:paraId="0E559524">
            <w:pPr>
              <w:pStyle w:val="27"/>
              <w:spacing w:before="121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参与能力管理计划的制定；</w:t>
            </w:r>
          </w:p>
          <w:p w14:paraId="75BA1773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按照能力管理计划实施；</w:t>
            </w:r>
          </w:p>
          <w:p w14:paraId="060B34EB">
            <w:pPr>
              <w:pStyle w:val="27"/>
              <w:spacing w:before="202" w:line="220" w:lineRule="auto"/>
              <w:ind w:left="155"/>
              <w:rPr>
                <w:spacing w:val="-3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接受</w:t>
            </w:r>
            <w:r>
              <w:rPr>
                <w:rFonts w:hint="eastAsia"/>
                <w:spacing w:val="-3"/>
                <w:lang w:eastAsia="zh-CN"/>
              </w:rPr>
              <w:t>质量部</w:t>
            </w:r>
            <w:r>
              <w:rPr>
                <w:spacing w:val="-3"/>
              </w:rPr>
              <w:t>的监督和检查，并定期汇报计划的实施情况；</w:t>
            </w:r>
          </w:p>
          <w:p w14:paraId="304F77A7">
            <w:pPr>
              <w:pStyle w:val="27"/>
              <w:spacing w:before="202" w:line="220" w:lineRule="auto"/>
              <w:ind w:left="155" w:leftChars="0"/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 w14:paraId="22F16355">
      <w:pPr>
        <w:spacing w:line="91" w:lineRule="auto"/>
        <w:rPr>
          <w:rFonts w:ascii="Arial"/>
          <w:sz w:val="2"/>
        </w:rPr>
      </w:pPr>
    </w:p>
    <w:p w14:paraId="258A9530">
      <w:pPr>
        <w:spacing w:line="91" w:lineRule="auto"/>
        <w:rPr>
          <w:rFonts w:ascii="Arial"/>
          <w:sz w:val="2"/>
        </w:rPr>
      </w:pPr>
    </w:p>
    <w:p w14:paraId="451AE942">
      <w:pPr>
        <w:pStyle w:val="30"/>
        <w:bidi w:val="0"/>
      </w:pPr>
      <w:bookmarkStart w:id="5" w:name="bookmark1"/>
      <w:bookmarkEnd w:id="5"/>
      <w:bookmarkStart w:id="6" w:name="_Toc4798"/>
      <w:r>
        <w:t>服务质量管理活动</w:t>
      </w:r>
      <w:bookmarkEnd w:id="6"/>
    </w:p>
    <w:p w14:paraId="1A4178D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为达成服务质量目标，检查运维体系的实施情况，2025年</w:t>
      </w: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7月至2026年6月</w:t>
      </w:r>
      <w:r>
        <w:rPr>
          <w:rFonts w:ascii="宋体" w:hAnsi="宋体" w:eastAsia="宋体" w:cs="宋体"/>
          <w:spacing w:val="-4"/>
          <w:sz w:val="24"/>
          <w:szCs w:val="24"/>
        </w:rPr>
        <w:t>计划执行的服务质量管理活动，具体目标如下：</w:t>
      </w:r>
    </w:p>
    <w:p w14:paraId="51FB142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提高客户满意度：客户满意度平均分≥9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分</w:t>
      </w:r>
    </w:p>
    <w:p w14:paraId="324ED2C9">
      <w:pPr>
        <w:pStyle w:val="31"/>
        <w:bidi w:val="0"/>
      </w:pPr>
      <w:bookmarkStart w:id="7" w:name="_Toc24139"/>
      <w:r>
        <w:t>运维服务能力内审</w:t>
      </w:r>
      <w:bookmarkEnd w:id="7"/>
    </w:p>
    <w:p w14:paraId="49E648A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pacing w:val="-1"/>
          <w:sz w:val="24"/>
          <w:szCs w:val="24"/>
        </w:rPr>
        <w:t>审核运维服务活动及其结果是否符合策划的安排，确保运维服务体系</w:t>
      </w:r>
      <w:r>
        <w:rPr>
          <w:rFonts w:ascii="宋体" w:hAnsi="宋体" w:eastAsia="宋体" w:cs="宋体"/>
          <w:spacing w:val="-9"/>
          <w:sz w:val="24"/>
          <w:szCs w:val="24"/>
        </w:rPr>
        <w:t>有效性。</w:t>
      </w:r>
    </w:p>
    <w:p w14:paraId="7FBA81D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pacing w:val="-1"/>
          <w:sz w:val="24"/>
          <w:szCs w:val="24"/>
        </w:rPr>
        <w:t>运维服务能力内审由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负责组织实施。</w:t>
      </w:r>
    </w:p>
    <w:p w14:paraId="201CC4AF">
      <w:pPr>
        <w:pStyle w:val="31"/>
        <w:bidi w:val="0"/>
      </w:pPr>
      <w:bookmarkStart w:id="8" w:name="_Toc5846"/>
      <w:r>
        <w:t>运维服务能力管理评审</w:t>
      </w:r>
      <w:bookmarkEnd w:id="8"/>
    </w:p>
    <w:p w14:paraId="3E3F07A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</w:t>
      </w:r>
    </w:p>
    <w:p w14:paraId="7BA1ADB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运维服务能力管理评审由管理者代表负责组织实施，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协助。</w:t>
      </w:r>
    </w:p>
    <w:p w14:paraId="2DAF7837">
      <w:pPr>
        <w:pStyle w:val="31"/>
        <w:bidi w:val="0"/>
      </w:pPr>
      <w:bookmarkStart w:id="9" w:name="_Toc11470"/>
      <w:r>
        <w:t>客户满意度调查</w:t>
      </w:r>
      <w:bookmarkEnd w:id="9"/>
    </w:p>
    <w:p w14:paraId="20BF276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客户满意度调查工作由服务台和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组织完成，其中，服务台负责项目级客户满意度调查，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负责公司级客户满意度调查。客户满意度调查可采取邮件、问卷、电话、面谈等多种方式。2025年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7月至2026年6月</w:t>
      </w:r>
      <w:r>
        <w:rPr>
          <w:rFonts w:ascii="宋体" w:hAnsi="宋体" w:eastAsia="宋体" w:cs="宋体"/>
          <w:spacing w:val="-1"/>
          <w:sz w:val="24"/>
          <w:szCs w:val="24"/>
        </w:rPr>
        <w:t>至少进行一次公司级客户满意度调查，并进行汇总分析。</w:t>
      </w:r>
    </w:p>
    <w:p w14:paraId="2951A9B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项目级的客户满意度调查是对每个已解决的事件或问题在 24 小时内进行电话回访，确认工程师是否成功解决问题，了解客户对处理结果的满意度。</w:t>
      </w:r>
    </w:p>
    <w:p w14:paraId="62A857C5">
      <w:pPr>
        <w:pStyle w:val="31"/>
        <w:bidi w:val="0"/>
      </w:pPr>
      <w:bookmarkStart w:id="10" w:name="_Toc14478"/>
      <w:r>
        <w:t>运维服务体系过程改进</w:t>
      </w:r>
      <w:bookmarkEnd w:id="10"/>
    </w:p>
    <w:p w14:paraId="470F77C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日常工作中，通过对运维服务项目过程的监督检查，收集服务提供过程中存在的问题，确定运维服务改进的需求。</w:t>
      </w:r>
    </w:p>
    <w:p w14:paraId="3D327F1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定期收集和分析运维服务指标完成情况，发现并确定运维服务改进需求。</w:t>
      </w:r>
    </w:p>
    <w:p w14:paraId="6B00FC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对客户反馈意见进行收集和分析（包括满意度调查结果和客户投诉意见），了解客户意见和需求，为改进提供依据。</w:t>
      </w:r>
    </w:p>
    <w:p w14:paraId="71863A5E">
      <w:pPr>
        <w:pStyle w:val="31"/>
        <w:bidi w:val="0"/>
      </w:pPr>
      <w:bookmarkStart w:id="11" w:name="_Toc18184"/>
      <w:r>
        <w:rPr>
          <w:rFonts w:hint="eastAsia"/>
          <w:lang w:val="en-US" w:eastAsia="zh-CN"/>
        </w:rPr>
        <w:t>质量培训</w:t>
      </w:r>
      <w:bookmarkEnd w:id="11"/>
    </w:p>
    <w:p w14:paraId="7C08001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通过对运维服务人员进行专业知识培训,提高运维服务人员的职业技能，从而提高服务质量和客户满意度、避免客户投诉</w:t>
      </w:r>
    </w:p>
    <w:p w14:paraId="1B739DA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</w:p>
    <w:p w14:paraId="758F66D8">
      <w:pPr>
        <w:pStyle w:val="30"/>
        <w:bidi w:val="0"/>
      </w:pPr>
      <w:bookmarkStart w:id="12" w:name="_Toc30296"/>
      <w:r>
        <w:t>运维服务质量管理计划</w:t>
      </w:r>
      <w:bookmarkEnd w:id="12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130"/>
        <w:gridCol w:w="3758"/>
        <w:gridCol w:w="837"/>
        <w:gridCol w:w="599"/>
        <w:gridCol w:w="599"/>
        <w:gridCol w:w="1176"/>
      </w:tblGrid>
      <w:tr w14:paraId="0942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73" w:type="dxa"/>
            <w:vAlign w:val="center"/>
          </w:tcPr>
          <w:p w14:paraId="35ECFDA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编号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16A30D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工作项目</w:t>
            </w:r>
          </w:p>
        </w:tc>
        <w:tc>
          <w:tcPr>
            <w:tcW w:w="3699" w:type="dxa"/>
            <w:shd w:val="clear" w:color="auto" w:fill="auto"/>
            <w:vAlign w:val="center"/>
          </w:tcPr>
          <w:p w14:paraId="6EF09B8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措施及要求</w:t>
            </w:r>
          </w:p>
        </w:tc>
        <w:tc>
          <w:tcPr>
            <w:tcW w:w="833" w:type="dxa"/>
            <w:shd w:val="clear" w:color="auto" w:fill="auto"/>
            <w:vAlign w:val="center"/>
          </w:tcPr>
          <w:p w14:paraId="6F89AFF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责任部门</w:t>
            </w:r>
          </w:p>
        </w:tc>
        <w:tc>
          <w:tcPr>
            <w:tcW w:w="595" w:type="dxa"/>
            <w:shd w:val="clear" w:color="auto" w:fill="auto"/>
            <w:vAlign w:val="center"/>
          </w:tcPr>
          <w:p w14:paraId="530211D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配合部门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693141B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负责人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3152C6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计划实施日期</w:t>
            </w:r>
          </w:p>
        </w:tc>
      </w:tr>
      <w:tr w14:paraId="30AA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" w:type="dxa"/>
            <w:shd w:val="clear" w:color="auto" w:fill="auto"/>
          </w:tcPr>
          <w:p w14:paraId="077FD66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117" w:type="dxa"/>
            <w:shd w:val="clear" w:color="auto" w:fill="auto"/>
          </w:tcPr>
          <w:p w14:paraId="2EEFCC8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运维服务质量目标策划分解</w:t>
            </w:r>
          </w:p>
        </w:tc>
        <w:tc>
          <w:tcPr>
            <w:tcW w:w="3699" w:type="dxa"/>
            <w:shd w:val="clear" w:color="auto" w:fill="auto"/>
          </w:tcPr>
          <w:p w14:paraId="79A828A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组织制定部门运维服务质量目标；</w:t>
            </w:r>
          </w:p>
          <w:p w14:paraId="3A2C10D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2. 对部门运维服务质量目标进行分解，制定质量目标展开对策表。</w:t>
            </w:r>
          </w:p>
        </w:tc>
        <w:tc>
          <w:tcPr>
            <w:tcW w:w="833" w:type="dxa"/>
            <w:shd w:val="clear" w:color="auto" w:fill="auto"/>
          </w:tcPr>
          <w:p w14:paraId="2A55379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595" w:type="dxa"/>
            <w:shd w:val="clear" w:color="auto" w:fill="auto"/>
          </w:tcPr>
          <w:p w14:paraId="7B6A5DF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617" w:type="dxa"/>
            <w:shd w:val="clear" w:color="auto" w:fill="auto"/>
          </w:tcPr>
          <w:p w14:paraId="407359F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1188" w:type="dxa"/>
            <w:shd w:val="clear" w:color="auto" w:fill="auto"/>
          </w:tcPr>
          <w:p w14:paraId="68DFB79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2025年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月</w:t>
            </w:r>
          </w:p>
        </w:tc>
      </w:tr>
      <w:tr w14:paraId="4509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" w:type="dxa"/>
            <w:shd w:val="clear" w:color="auto" w:fill="auto"/>
          </w:tcPr>
          <w:p w14:paraId="0EB2B9C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117" w:type="dxa"/>
            <w:shd w:val="clear" w:color="auto" w:fill="auto"/>
          </w:tcPr>
          <w:p w14:paraId="3B0BB11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质量信息反馈</w:t>
            </w:r>
          </w:p>
        </w:tc>
        <w:tc>
          <w:tcPr>
            <w:tcW w:w="3699" w:type="dxa"/>
            <w:shd w:val="clear" w:color="auto" w:fill="auto"/>
          </w:tcPr>
          <w:p w14:paraId="54CEDC7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加强与用户的联系，主动征求意见；</w:t>
            </w:r>
          </w:p>
          <w:p w14:paraId="15BF291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2. 按规定及时交流和采用反馈信息；</w:t>
            </w:r>
          </w:p>
          <w:p w14:paraId="689DFDB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3. 通过公司、事件不同角度的用户满意度调查和统计分析，及时掌握用户要求和用户意见；</w:t>
            </w:r>
          </w:p>
          <w:p w14:paraId="2C97574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4. 跟踪问题处置；</w:t>
            </w:r>
          </w:p>
          <w:p w14:paraId="3584D0C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5. 处理用户投诉；</w:t>
            </w:r>
          </w:p>
        </w:tc>
        <w:tc>
          <w:tcPr>
            <w:tcW w:w="833" w:type="dxa"/>
            <w:shd w:val="clear" w:color="auto" w:fill="auto"/>
          </w:tcPr>
          <w:p w14:paraId="78ED9CD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595" w:type="dxa"/>
            <w:shd w:val="clear" w:color="auto" w:fill="auto"/>
          </w:tcPr>
          <w:p w14:paraId="09C4BDC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617" w:type="dxa"/>
            <w:shd w:val="clear" w:color="auto" w:fill="auto"/>
          </w:tcPr>
          <w:p w14:paraId="49E3FF1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1188" w:type="dxa"/>
            <w:shd w:val="clear" w:color="auto" w:fill="auto"/>
          </w:tcPr>
          <w:p w14:paraId="02DF78DD">
            <w:pPr>
              <w:widowControl w:val="0"/>
              <w:bidi w:val="0"/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2025年7月-</w:t>
            </w:r>
          </w:p>
          <w:p w14:paraId="3FEE63D7">
            <w:pPr>
              <w:widowControl w:val="0"/>
              <w:bidi w:val="0"/>
              <w:rPr>
                <w:rFonts w:hint="default" w:ascii="宋体" w:hAnsi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2026年6月</w:t>
            </w:r>
          </w:p>
        </w:tc>
      </w:tr>
      <w:tr w14:paraId="0AF9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24B8683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6455309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运维服务能力管理体系过程控制</w:t>
            </w:r>
          </w:p>
        </w:tc>
        <w:tc>
          <w:tcPr>
            <w:tcW w:w="0" w:type="auto"/>
            <w:shd w:val="clear" w:color="auto" w:fill="auto"/>
          </w:tcPr>
          <w:p w14:paraId="1D1483D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各部门强化工作范围内的执行规范，严格按照管理规定，做好服务工作的过程控制，保障过程文档记录的有效性和完整性，做到有章可循、有据可查；</w:t>
            </w:r>
          </w:p>
          <w:p w14:paraId="32ED9F1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 xml:space="preserve">2.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认真做好定期的服务回顾与报告分析，继续强化周例会、服务巡检、检查审核，针对总结出的问题认真处置，保持一种较好的服务状态；</w:t>
            </w:r>
          </w:p>
        </w:tc>
        <w:tc>
          <w:tcPr>
            <w:tcW w:w="0" w:type="auto"/>
            <w:shd w:val="clear" w:color="auto" w:fill="auto"/>
          </w:tcPr>
          <w:p w14:paraId="77D8231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491512B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51D94D4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0" w:type="auto"/>
            <w:shd w:val="clear" w:color="auto" w:fill="auto"/>
          </w:tcPr>
          <w:p w14:paraId="59614B49">
            <w:pPr>
              <w:widowControl w:val="0"/>
              <w:bidi w:val="0"/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2025年7月-</w:t>
            </w:r>
          </w:p>
          <w:p w14:paraId="64BDEAB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2026年6月</w:t>
            </w:r>
          </w:p>
        </w:tc>
      </w:tr>
      <w:tr w14:paraId="5A04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01BBC14F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F615E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客户满意度调查</w:t>
            </w:r>
          </w:p>
        </w:tc>
        <w:tc>
          <w:tcPr>
            <w:tcW w:w="0" w:type="auto"/>
            <w:shd w:val="clear" w:color="auto" w:fill="auto"/>
          </w:tcPr>
          <w:p w14:paraId="3C26134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每年对运维服务客户进行公司级客户满意度调查。</w:t>
            </w:r>
          </w:p>
        </w:tc>
        <w:tc>
          <w:tcPr>
            <w:tcW w:w="0" w:type="auto"/>
            <w:shd w:val="clear" w:color="auto" w:fill="auto"/>
          </w:tcPr>
          <w:p w14:paraId="121EC65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、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2D9427D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754A508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2042DB9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</w:t>
            </w:r>
          </w:p>
        </w:tc>
      </w:tr>
      <w:tr w14:paraId="4DE0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D17489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0AA42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内审</w:t>
            </w:r>
          </w:p>
        </w:tc>
        <w:tc>
          <w:tcPr>
            <w:tcW w:w="0" w:type="auto"/>
            <w:shd w:val="clear" w:color="auto" w:fill="auto"/>
          </w:tcPr>
          <w:p w14:paraId="6D255EC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 按规定要求制订审核计划，选好内审员，做好内审前培训；做好各项准备工作，开预备会议；</w:t>
            </w:r>
          </w:p>
          <w:p w14:paraId="7866F1E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现场审核，做好审核记录；</w:t>
            </w:r>
          </w:p>
          <w:p w14:paraId="3649218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编写审核报告并及时下发；</w:t>
            </w:r>
          </w:p>
          <w:p w14:paraId="3D93037F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对不符合项按规定认真进行整改和验证。</w:t>
            </w:r>
          </w:p>
        </w:tc>
        <w:tc>
          <w:tcPr>
            <w:tcW w:w="0" w:type="auto"/>
            <w:shd w:val="clear" w:color="auto" w:fill="auto"/>
          </w:tcPr>
          <w:p w14:paraId="3982269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46C006F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7B7F5A9F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</w:tcPr>
          <w:p w14:paraId="51809E5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年 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月（外审前进行一次）</w:t>
            </w:r>
          </w:p>
        </w:tc>
      </w:tr>
      <w:tr w14:paraId="3C414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5528BB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48862BA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管理评审</w:t>
            </w:r>
          </w:p>
        </w:tc>
        <w:tc>
          <w:tcPr>
            <w:tcW w:w="0" w:type="auto"/>
            <w:shd w:val="clear" w:color="auto" w:fill="auto"/>
          </w:tcPr>
          <w:p w14:paraId="258D15F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1. 根据总经理意见，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编制运维服务管理评审计划，组织编制管理评审专题报告</w:t>
            </w:r>
          </w:p>
          <w:p w14:paraId="12E7235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2. 副总经理组织汇报及评审材料，提交会议评审；</w:t>
            </w:r>
          </w:p>
          <w:p w14:paraId="66BFAEC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3. 总经理主持，有关部门和人 员参加，实施运维服务管理评审，并做好记录；编制评审报告并发放；</w:t>
            </w:r>
          </w:p>
          <w:p w14:paraId="5F6F566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4. 实施运维服务管理评审报告有关工作。</w:t>
            </w:r>
          </w:p>
        </w:tc>
        <w:tc>
          <w:tcPr>
            <w:tcW w:w="0" w:type="auto"/>
            <w:shd w:val="clear" w:color="auto" w:fill="auto"/>
          </w:tcPr>
          <w:p w14:paraId="316A204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41EFF22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41FA333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</w:tcPr>
          <w:p w14:paraId="015E808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</w:t>
            </w:r>
          </w:p>
          <w:p w14:paraId="55A311C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（外审前进行一次）</w:t>
            </w:r>
          </w:p>
        </w:tc>
      </w:tr>
      <w:tr w14:paraId="7105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6013657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560C91B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运维服务质量目标实施效果分析评价</w:t>
            </w:r>
          </w:p>
        </w:tc>
        <w:tc>
          <w:tcPr>
            <w:tcW w:w="0" w:type="auto"/>
            <w:shd w:val="clear" w:color="auto" w:fill="auto"/>
          </w:tcPr>
          <w:p w14:paraId="3D78E28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1.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经理结合部门年 初制定的运维服务质量目标对策表，针对质量目标进行逐条评价，形成运维服务质量目标实施效果分析评价报告。</w:t>
            </w:r>
          </w:p>
          <w:p w14:paraId="651B886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2.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根据质量目标分析 评价报告，形成公司级运维服务质量目标实施效果分析评价报告。</w:t>
            </w:r>
          </w:p>
        </w:tc>
        <w:tc>
          <w:tcPr>
            <w:tcW w:w="0" w:type="auto"/>
            <w:shd w:val="clear" w:color="auto" w:fill="auto"/>
          </w:tcPr>
          <w:p w14:paraId="6554342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7AB5D50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247E840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经理</w:t>
            </w:r>
          </w:p>
        </w:tc>
        <w:tc>
          <w:tcPr>
            <w:tcW w:w="0" w:type="auto"/>
            <w:shd w:val="clear" w:color="auto" w:fill="auto"/>
          </w:tcPr>
          <w:p w14:paraId="453B28C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月底</w:t>
            </w:r>
          </w:p>
        </w:tc>
      </w:tr>
      <w:tr w14:paraId="02F9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3A6D0B2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43D05A6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体系文件的持续修订</w:t>
            </w:r>
          </w:p>
        </w:tc>
        <w:tc>
          <w:tcPr>
            <w:tcW w:w="0" w:type="auto"/>
            <w:shd w:val="clear" w:color="auto" w:fill="auto"/>
          </w:tcPr>
          <w:p w14:paraId="145B550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1. 公司各部门日常管理工作流程如发现与体系文件不匹配的情况，根据自身情况对体系文件进行修订、评审、改进。</w:t>
            </w:r>
          </w:p>
          <w:p w14:paraId="2226672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2. 在内审、管理评审中，发现公司体系文件与 ITSS 标准不符合的情况，应及时对体系文件提出修改建议，持续修订、改进。</w:t>
            </w:r>
          </w:p>
        </w:tc>
        <w:tc>
          <w:tcPr>
            <w:tcW w:w="0" w:type="auto"/>
            <w:shd w:val="clear" w:color="auto" w:fill="auto"/>
          </w:tcPr>
          <w:p w14:paraId="7915810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</w:tcPr>
          <w:p w14:paraId="6E77AA7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</w:tcPr>
          <w:p w14:paraId="0E86517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</w:tcPr>
          <w:p w14:paraId="2964AF7E">
            <w:pPr>
              <w:widowControl w:val="0"/>
              <w:bidi w:val="0"/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2025年7月-</w:t>
            </w:r>
          </w:p>
          <w:p w14:paraId="6DFC972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2026年6月</w:t>
            </w:r>
            <w:bookmarkStart w:id="13" w:name="_GoBack"/>
            <w:bookmarkEnd w:id="13"/>
          </w:p>
        </w:tc>
      </w:tr>
    </w:tbl>
    <w:p w14:paraId="0271D1A9">
      <w:pPr>
        <w:bidi w:val="0"/>
      </w:pPr>
    </w:p>
    <w:p w14:paraId="62F5C93D">
      <w:pPr>
        <w:pStyle w:val="29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FBCE76"/>
    <w:multiLevelType w:val="singleLevel"/>
    <w:tmpl w:val="FDFBCE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511F45"/>
    <w:rsid w:val="1D560463"/>
    <w:rsid w:val="3236068C"/>
    <w:rsid w:val="7E5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1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2468</Words>
  <Characters>2654</Characters>
  <Lines>0</Lines>
  <Paragraphs>0</Paragraphs>
  <TotalTime>2</TotalTime>
  <ScaleCrop>false</ScaleCrop>
  <LinksUpToDate>false</LinksUpToDate>
  <CharactersWithSpaces>2754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2026-02-16T14:59:13Z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341D1C7ED3A1444E8EA73691394D44B6_11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