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  <w:bookmarkStart w:id="0" w:name="_GoBack"/>
      <w:bookmarkStart w:id="1" w:name="_Toc9481"/>
      <w: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>
        <w:rPr>
          <w:rFonts w:hint="eastAsia"/>
          <w:lang w:val="en-US" w:eastAsia="zh-CN"/>
        </w:rPr>
        <w:t>天津市华夏电缆有限公司</w:t>
      </w:r>
      <w:bookmarkEnd w:id="1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  <w:bookmarkStart w:id="2" w:name="_Toc8023"/>
      <w:r>
        <w:rPr>
          <w:rFonts w:hint="eastAsia"/>
          <w:lang w:val="en-US" w:eastAsia="zh-CN"/>
        </w:rPr>
        <w:t>绩效考核管理制度</w:t>
      </w:r>
      <w:bookmarkEnd w:id="2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  <w:bookmarkStart w:id="3" w:name="_Toc5137"/>
      <w:r>
        <w:rPr>
          <w:rFonts w:hint="eastAsia"/>
          <w:lang w:val="en-US" w:eastAsia="zh-CN"/>
        </w:rPr>
        <w:t>（HXDL-ITSS-0504）</w:t>
      </w:r>
      <w:bookmarkEnd w:id="3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李欣雨</w:t>
            </w:r>
          </w:p>
        </w:tc>
        <w:tc>
          <w:tcPr>
            <w:tcW w:w="426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2025.07.07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right"/>
              <w:textAlignment w:val="baseline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2025.07.07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181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2025.07.07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0" w:lineRule="auto"/>
        <w:ind w:left="3195"/>
        <w:textAlignment w:val="baseline"/>
        <w:outlineLvl w:val="0"/>
        <w:rPr>
          <w:rFonts w:ascii="宋体" w:eastAsia="宋体" w:hAnsi="宋体" w:cs="宋体"/>
          <w:sz w:val="30"/>
          <w:szCs w:val="30"/>
        </w:rPr>
      </w:pPr>
      <w:bookmarkStart w:id="4" w:name="_Toc31652"/>
      <w:r>
        <w:rPr>
          <w:rFonts w:ascii="宋体" w:eastAsia="宋体" w:hAnsi="宋体" w:cs="宋体"/>
          <w:b/>
          <w:bCs/>
          <w:spacing w:val="-4"/>
          <w:sz w:val="30"/>
          <w:szCs w:val="30"/>
        </w:rPr>
        <w:t>文件编制和变更履历</w:t>
      </w:r>
      <w:bookmarkEnd w:id="4"/>
    </w:p>
    <w:tbl>
      <w:tblPr>
        <w:tblStyle w:val="TableNormal00"/>
        <w:tblW w:w="9005" w:type="dxa"/>
        <w:tblInd w:w="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>
        <w:tblPrEx>
          <w:tblW w:w="9005" w:type="dxa"/>
          <w:tblInd w:w="34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/>
        </w:trPr>
        <w:tc>
          <w:tcPr>
            <w:tcW w:w="845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72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528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19" w:lineRule="auto"/>
              <w:ind w:left="927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911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217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/>
        </w:trPr>
        <w:tc>
          <w:tcPr>
            <w:tcW w:w="845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91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3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244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87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1" w:lineRule="auto"/>
              <w:ind w:left="268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41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3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95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25"/>
              <w:textAlignment w:val="baseline"/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李欣雨</w:t>
            </w:r>
          </w:p>
        </w:tc>
        <w:tc>
          <w:tcPr>
            <w:tcW w:w="127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04"/>
              <w:textAlignment w:val="baseline"/>
            </w:pPr>
            <w:r>
              <w:rPr>
                <w:spacing w:val="-1"/>
              </w:rPr>
              <w:t>2025.7.7</w:t>
            </w:r>
          </w:p>
        </w:tc>
        <w:tc>
          <w:tcPr>
            <w:tcW w:w="9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68"/>
              <w:textAlignment w:val="baseline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61"/>
              <w:textAlignment w:val="baseline"/>
            </w:pPr>
            <w:r>
              <w:rPr>
                <w:spacing w:val="-1"/>
              </w:rPr>
              <w:t>2025.7.7</w:t>
            </w:r>
          </w:p>
        </w:tc>
        <w:tc>
          <w:tcPr>
            <w:tcW w:w="10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202"/>
              <w:textAlignment w:val="baseline"/>
            </w:pPr>
            <w:r>
              <w:rPr>
                <w:spacing w:val="-3"/>
              </w:rPr>
              <w:t>陈垒</w:t>
            </w:r>
          </w:p>
        </w:tc>
        <w:tc>
          <w:tcPr>
            <w:tcW w:w="1271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220"/>
              <w:textAlignment w:val="baseline"/>
            </w:pPr>
            <w:r>
              <w:rPr>
                <w:spacing w:val="-1"/>
              </w:rPr>
              <w:t>2025.7.7</w:t>
            </w: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7" w:lineRule="auto"/>
              <w:ind w:left="341"/>
              <w:textAlignment w:val="baseline"/>
            </w:pPr>
            <w:r>
              <w:rPr>
                <w:spacing w:val="-5"/>
              </w:rPr>
              <w:t>首次发布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195"/>
              <w:textAlignment w:val="baseline"/>
            </w:pPr>
          </w:p>
        </w:tc>
        <w:tc>
          <w:tcPr>
            <w:tcW w:w="881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25"/>
              <w:textAlignment w:val="baseline"/>
            </w:pPr>
          </w:p>
        </w:tc>
        <w:tc>
          <w:tcPr>
            <w:tcW w:w="127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10"/>
              <w:textAlignment w:val="baseline"/>
            </w:pPr>
          </w:p>
        </w:tc>
        <w:tc>
          <w:tcPr>
            <w:tcW w:w="9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68"/>
              <w:textAlignment w:val="baseline"/>
            </w:pPr>
          </w:p>
        </w:tc>
        <w:tc>
          <w:tcPr>
            <w:tcW w:w="137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67"/>
              <w:textAlignment w:val="baseline"/>
            </w:pPr>
          </w:p>
        </w:tc>
        <w:tc>
          <w:tcPr>
            <w:tcW w:w="10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20" w:lineRule="auto"/>
              <w:ind w:left="202"/>
              <w:textAlignment w:val="baseline"/>
            </w:pPr>
          </w:p>
        </w:tc>
        <w:tc>
          <w:tcPr>
            <w:tcW w:w="1271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436"/>
              <w:textAlignment w:val="baseline"/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/>
        </w:trPr>
        <w:tc>
          <w:tcPr>
            <w:tcW w:w="845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195"/>
              <w:textAlignment w:val="baseline"/>
            </w:pPr>
          </w:p>
        </w:tc>
        <w:tc>
          <w:tcPr>
            <w:tcW w:w="881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125"/>
              <w:textAlignment w:val="baseline"/>
            </w:pP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10"/>
              <w:textAlignment w:val="baseline"/>
            </w:pP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8" w:lineRule="auto"/>
              <w:ind w:left="164"/>
              <w:textAlignment w:val="baseline"/>
            </w:pP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67"/>
              <w:textAlignment w:val="baseline"/>
            </w:pP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202"/>
              <w:textAlignment w:val="baseline"/>
            </w:pPr>
          </w:p>
        </w:tc>
        <w:tc>
          <w:tcPr>
            <w:tcW w:w="1271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436"/>
              <w:textAlignment w:val="baseline"/>
            </w:pP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6636"/>
        <w:docPartObj>
          <w:docPartGallery w:val="Table of Contents"/>
          <w:docPartUnique/>
        </w:docPartObj>
      </w:sdtPr>
      <w:sdtEndPr>
        <w:rPr>
          <w:rFonts w:ascii="Arial" w:eastAsia="宋体" w:hAnsi="Arial" w:cs="Arial" w:hint="default"/>
          <w:snapToGrid w:val="0"/>
          <w:color w:val="000000"/>
          <w:kern w:val="0"/>
          <w:sz w:val="21"/>
          <w:szCs w:val="21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TOC \o "1-3" \h \u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_Toc9481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天津市华夏电缆有限公司</w:t>
          </w:r>
          <w:r>
            <w:tab/>
          </w:r>
          <w:r>
            <w:fldChar w:fldCharType="begin"/>
          </w:r>
          <w:r>
            <w:instrText xml:space="preserve"> PAGEREF _Toc9481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_Toc8023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绩效考核管理制度</w:t>
          </w:r>
          <w:r>
            <w:tab/>
          </w:r>
          <w:r>
            <w:fldChar w:fldCharType="begin"/>
          </w:r>
          <w:r>
            <w:instrText xml:space="preserve"> PAGEREF _Toc8023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_Toc5137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（HXDL-ITSS-0504）</w:t>
          </w:r>
          <w:r>
            <w:tab/>
          </w:r>
          <w:r>
            <w:fldChar w:fldCharType="begin"/>
          </w:r>
          <w:r>
            <w:instrText xml:space="preserve"> PAGEREF _Toc5137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_Toc31652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宋体" w:eastAsia="宋体" w:hAnsi="宋体" w:cs="宋体"/>
              <w:bCs/>
              <w:spacing w:val="-4"/>
              <w:szCs w:val="30"/>
            </w:rPr>
            <w:t>文件编制和变更履历</w:t>
          </w:r>
          <w:r>
            <w:tab/>
          </w:r>
          <w:r>
            <w:fldChar w:fldCharType="begin"/>
          </w:r>
          <w:r>
            <w:instrText xml:space="preserve"> PAGEREF _Toc31652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_Toc24980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1. 考核目的</w:t>
          </w:r>
          <w:r>
            <w:tab/>
          </w:r>
          <w:r>
            <w:fldChar w:fldCharType="begin"/>
          </w:r>
          <w:r>
            <w:instrText xml:space="preserve"> PAGEREF _Toc24980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_Toc20476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_Toc20476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_Toc394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3. 考核原则</w:t>
          </w:r>
          <w:r>
            <w:tab/>
          </w:r>
          <w:r>
            <w:fldChar w:fldCharType="begin"/>
          </w:r>
          <w:r>
            <w:instrText xml:space="preserve"> PAGEREF _Toc394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_Toc7743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 考核周期</w:t>
          </w:r>
          <w:r>
            <w:tab/>
          </w:r>
          <w:r>
            <w:fldChar w:fldCharType="begin"/>
          </w:r>
          <w:r>
            <w:instrText xml:space="preserve"> PAGEREF _Toc7743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_Toc31991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5. 考核职责</w:t>
          </w:r>
          <w:r>
            <w:tab/>
          </w:r>
          <w:r>
            <w:fldChar w:fldCharType="begin"/>
          </w:r>
          <w:r>
            <w:instrText xml:space="preserve"> PAGEREF _Toc31991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_Toc10105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人力资源部</w:t>
          </w:r>
          <w:r>
            <w:tab/>
          </w:r>
          <w:r>
            <w:fldChar w:fldCharType="begin"/>
          </w:r>
          <w:r>
            <w:instrText xml:space="preserve"> PAGEREF _Toc10105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_Toc25701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5.2. 各</w:t>
          </w:r>
          <w:r>
            <w:rPr>
              <w:rFonts w:hint="eastAsia"/>
              <w:lang w:val="en-US" w:eastAsia="zh-CN"/>
            </w:rPr>
            <w:t>运维相关</w:t>
          </w:r>
          <w:r>
            <w:rPr>
              <w:rFonts w:hint="default"/>
              <w:lang w:val="en-US" w:eastAsia="zh-CN"/>
            </w:rPr>
            <w:t>部门</w:t>
          </w:r>
          <w:r>
            <w:tab/>
          </w:r>
          <w:r>
            <w:fldChar w:fldCharType="begin"/>
          </w:r>
          <w:r>
            <w:instrText xml:space="preserve"> PAGEREF _Toc25701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_Toc1783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5.3. 公司领导</w:t>
          </w:r>
          <w:r>
            <w:tab/>
          </w:r>
          <w:r>
            <w:fldChar w:fldCharType="begin"/>
          </w:r>
          <w:r>
            <w:instrText xml:space="preserve"> PAGEREF _Toc1783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_Toc10036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6. 考核内容</w:t>
          </w:r>
          <w:r>
            <w:tab/>
          </w:r>
          <w:r>
            <w:fldChar w:fldCharType="begin"/>
          </w:r>
          <w:r>
            <w:instrText xml:space="preserve"> PAGEREF _Toc10036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_Toc13010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6.1. </w:t>
          </w:r>
          <w:r>
            <w:rPr>
              <w:rFonts w:hint="eastAsia"/>
              <w:lang w:val="en-US" w:eastAsia="zh-CN"/>
            </w:rPr>
            <w:t>运维部、质量部</w:t>
          </w:r>
          <w:r>
            <w:tab/>
          </w:r>
          <w:r>
            <w:fldChar w:fldCharType="begin"/>
          </w:r>
          <w:r>
            <w:instrText xml:space="preserve"> PAGEREF _Toc13010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_Toc32359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6.2. </w:t>
          </w:r>
          <w:r>
            <w:rPr>
              <w:rFonts w:hint="eastAsia"/>
              <w:lang w:val="en-US" w:eastAsia="zh-CN"/>
            </w:rPr>
            <w:t>研发部</w:t>
          </w:r>
          <w:r>
            <w:tab/>
          </w:r>
          <w:r>
            <w:fldChar w:fldCharType="begin"/>
          </w:r>
          <w:r>
            <w:instrText xml:space="preserve"> PAGEREF _Toc32359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_Toc30223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6.3. </w:t>
          </w:r>
          <w:r>
            <w:rPr>
              <w:rFonts w:hint="eastAsia"/>
              <w:lang w:val="en-US" w:eastAsia="zh-CN"/>
            </w:rPr>
            <w:t>人力资源部</w:t>
          </w:r>
          <w:r>
            <w:tab/>
          </w:r>
          <w:r>
            <w:fldChar w:fldCharType="begin"/>
          </w:r>
          <w:r>
            <w:instrText xml:space="preserve"> PAGEREF _Toc30223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_Toc20178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6.4. 各部门</w:t>
          </w:r>
          <w:r>
            <w:rPr>
              <w:rFonts w:hint="eastAsia"/>
              <w:lang w:val="en-US" w:eastAsia="zh-CN"/>
            </w:rPr>
            <w:t>经理</w:t>
          </w:r>
          <w:r>
            <w:tab/>
          </w:r>
          <w:r>
            <w:fldChar w:fldCharType="begin"/>
          </w:r>
          <w:r>
            <w:instrText xml:space="preserve"> PAGEREF _Toc20178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_Toc22662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考核结果</w:t>
          </w:r>
          <w:r>
            <w:tab/>
          </w:r>
          <w:r>
            <w:fldChar w:fldCharType="begin"/>
          </w:r>
          <w:r>
            <w:instrText xml:space="preserve"> PAGEREF _Toc22662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_Toc17887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8. 考评结果的运用</w:t>
          </w:r>
          <w:r>
            <w:tab/>
          </w:r>
          <w:r>
            <w:fldChar w:fldCharType="begin"/>
          </w:r>
          <w:r>
            <w:instrText xml:space="preserve"> PAGEREF _Toc17887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_Toc19240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8.1. 年度评优</w:t>
          </w:r>
          <w:r>
            <w:tab/>
          </w:r>
          <w:r>
            <w:fldChar w:fldCharType="begin"/>
          </w:r>
          <w:r>
            <w:instrText xml:space="preserve"> PAGEREF _Toc19240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_Toc19772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8.2. 员工定级</w:t>
          </w:r>
          <w:r>
            <w:tab/>
          </w:r>
          <w:r>
            <w:fldChar w:fldCharType="begin"/>
          </w:r>
          <w:r>
            <w:instrText xml:space="preserve"> PAGEREF _Toc19772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_Toc25446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8.3. 年度调薪</w:t>
          </w:r>
          <w:r>
            <w:tab/>
          </w:r>
          <w:r>
            <w:fldChar w:fldCharType="begin"/>
          </w:r>
          <w:r>
            <w:instrText xml:space="preserve"> PAGEREF _Toc25446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_Toc5421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9. 考核流程</w:t>
          </w:r>
          <w:r>
            <w:tab/>
          </w:r>
          <w:r>
            <w:fldChar w:fldCharType="begin"/>
          </w:r>
          <w:r>
            <w:instrText xml:space="preserve"> PAGEREF _Toc5421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_Toc1720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10. 申诉的受理</w:t>
          </w:r>
          <w:r>
            <w:tab/>
          </w:r>
          <w:r>
            <w:fldChar w:fldCharType="begin"/>
          </w:r>
          <w:r>
            <w:instrText xml:space="preserve"> PAGEREF _Toc1720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_Toc12900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11. 绩效问题改进</w:t>
          </w:r>
          <w:r>
            <w:tab/>
          </w:r>
          <w:r>
            <w:fldChar w:fldCharType="begin"/>
          </w:r>
          <w:r>
            <w:instrText xml:space="preserve"> PAGEREF _Toc12900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_Toc12198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12. KPI指标</w:t>
          </w:r>
          <w:r>
            <w:tab/>
          </w:r>
          <w:r>
            <w:fldChar w:fldCharType="begin"/>
          </w:r>
          <w:r>
            <w:instrText xml:space="preserve"> PAGEREF _Toc12198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r>
            <w:rPr>
              <w:rFonts w:hint="default"/>
              <w:lang w:val="en-US" w:eastAsia="zh-CN"/>
            </w:rPr>
            <w:fldChar w:fldCharType="end"/>
          </w:r>
        </w:p>
      </w:sdtContent>
    </w:sdt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24980"/>
      <w:r>
        <w:rPr>
          <w:rFonts w:hint="default"/>
          <w:lang w:val="en-US" w:eastAsia="zh-CN"/>
        </w:rPr>
        <w:t>考核目的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为更好地激励与挖掘员工潜能，强化员工的责任和竞争意识，提高组织整体效能，同时为员工奖金评定、薪资调整及年度评优等提供科学有效的依据，从而推动企业与员工共同发展。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20476"/>
      <w:r>
        <w:rPr>
          <w:rFonts w:hint="default"/>
          <w:lang w:val="en-US" w:eastAsia="zh-CN"/>
        </w:rPr>
        <w:t>适用范围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本制度适用于公司所有员工。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394"/>
      <w:r>
        <w:rPr>
          <w:rFonts w:hint="default"/>
          <w:lang w:val="en-US" w:eastAsia="zh-CN"/>
        </w:rPr>
        <w:t>考核原则</w:t>
      </w:r>
      <w:bookmarkEnd w:id="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客观原则：对被考核者的任何评价都应明确的评价标准，以事实为依据，客观地反映员工的实际情况，避免因个人和其他主观因素影响绩效考核的结果。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自主原则：各</w:t>
      </w:r>
      <w:r>
        <w:rPr>
          <w:rFonts w:hint="eastAsia"/>
          <w:lang w:val="en-US" w:eastAsia="zh-CN"/>
        </w:rPr>
        <w:t>部门</w:t>
      </w:r>
      <w:r>
        <w:rPr>
          <w:rFonts w:hint="default"/>
          <w:lang w:val="en-US" w:eastAsia="zh-CN"/>
        </w:rPr>
        <w:t>可根据自身工作特点在一定范围内制定相应的考核规程和评价标准，形成部门的考核实施细则，部门内所有岗位均有对应的考核指标。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公开原则：各级考核指标（含项目、达到状态、权重和评价标准）的制定与过程调整，对员工公开。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反馈原则：过程监控结果和考核结果要及时反馈给被考核者本人，肯定成绩，指出不足，并提出今后努力改进的方向。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改进原则：考核目的在于监督责任者的职能履行与实施，促进责任者对公司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部门经营目标的有效贯彻与实现，因此在考核中要注重对责任者的自我纠正和改进情况的评价。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7743"/>
      <w:r>
        <w:rPr>
          <w:rFonts w:hint="default"/>
          <w:lang w:val="en-US" w:eastAsia="zh-CN"/>
        </w:rPr>
        <w:t>考核周期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季度考核：对员工当季度的工作绩效进行考核，考核时间为下季度第一个月份的1日～25日，遇节假日顺延。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年度考核：对员工当年的工作绩效进行考核，考核时间为下年度一月份的1日～25日，遇节假日顺延。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31991"/>
      <w:r>
        <w:rPr>
          <w:rFonts w:hint="default"/>
          <w:lang w:val="en-US" w:eastAsia="zh-CN"/>
        </w:rPr>
        <w:t>考核职责</w:t>
      </w:r>
      <w:bookmarkEnd w:id="9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0" w:name="_Toc10105"/>
      <w:r>
        <w:rPr>
          <w:rFonts w:hint="eastAsia"/>
          <w:lang w:val="en-US" w:eastAsia="zh-CN"/>
        </w:rPr>
        <w:t>人力资源部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作为年终考核的主要牵头部门，负责制定绩效考核方案、组织绩效考核实施、员工级考核得分的汇总、考核结果的汇总与运用。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25701"/>
      <w:r>
        <w:rPr>
          <w:rFonts w:hint="default"/>
          <w:lang w:val="en-US" w:eastAsia="zh-CN"/>
        </w:rPr>
        <w:t>各</w:t>
      </w:r>
      <w:r>
        <w:rPr>
          <w:rFonts w:hint="eastAsia"/>
          <w:lang w:val="en-US" w:eastAsia="zh-CN"/>
        </w:rPr>
        <w:t>运维相关</w:t>
      </w:r>
      <w:r>
        <w:rPr>
          <w:rFonts w:hint="default"/>
          <w:lang w:val="en-US" w:eastAsia="zh-CN"/>
        </w:rPr>
        <w:t>部门</w:t>
      </w:r>
      <w:bookmarkEnd w:id="1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作为年终考核的重要参与部门，负责所辖员工的考核评价。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1783"/>
      <w:r>
        <w:rPr>
          <w:rFonts w:hint="default"/>
          <w:lang w:val="en-US" w:eastAsia="zh-CN"/>
        </w:rPr>
        <w:t>公司领导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对绩效考核实行监督及拥有最终考核结果决定权。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10036"/>
      <w:r>
        <w:rPr>
          <w:rFonts w:hint="default"/>
          <w:lang w:val="en-US" w:eastAsia="zh-CN"/>
        </w:rPr>
        <w:t>考核内容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依据考核周期内员工个体的具体工作表现由直接上级进行考核评分。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13010"/>
      <w:r>
        <w:rPr>
          <w:rFonts w:hint="eastAsia"/>
          <w:lang w:val="en-US" w:eastAsia="zh-CN"/>
        </w:rPr>
        <w:t>运维部、质量部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考核方式：业主单位考评权重 40%、班组考评权重 30%、部门考评权重 30%。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考核内容：从“专业能力”“沟通能力”“文档能力”“基础评价”“行为意识”和“特殊贡献”六个绩效指标进行评价。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32359"/>
      <w:r>
        <w:rPr>
          <w:rFonts w:hint="eastAsia"/>
          <w:lang w:val="en-US" w:eastAsia="zh-CN"/>
        </w:rPr>
        <w:t>研发部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考核方式：班组评价为主，部门评价为辅，由研发部门自行组织。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考核内容：从“个人素质”“专业能力”“业务能力”“工作业绩”及“管理能力”五个方面进行考核，具体指标细则和权重由部门根据实际情况确定。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30223"/>
      <w:r>
        <w:rPr>
          <w:rFonts w:hint="eastAsia"/>
          <w:lang w:val="en-US" w:eastAsia="zh-CN"/>
        </w:rPr>
        <w:t>人力资源部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考核方式：部门评价权重 60%，公司领导评价权重 40%。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考核内容：从“工作绩效”“工作能力”“工作态度”和“学习成长力”四个方面进行考核。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20178"/>
      <w:r>
        <w:rPr>
          <w:rFonts w:hint="default"/>
          <w:lang w:val="en-US" w:eastAsia="zh-CN"/>
        </w:rPr>
        <w:t>各部门</w:t>
      </w:r>
      <w:r>
        <w:rPr>
          <w:rFonts w:hint="eastAsia"/>
          <w:lang w:val="en-US" w:eastAsia="zh-CN"/>
        </w:rPr>
        <w:t>经理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考核方式：部门负责人互评权重 40%，公司领导评价权重 60%。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考核内容：从“工作绩效”“工作能力”“知识与专业技能”和“个人品质”四个方面进行考核。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22662"/>
      <w:r>
        <w:rPr>
          <w:rFonts w:hint="eastAsia"/>
          <w:lang w:val="en-US" w:eastAsia="zh-CN"/>
        </w:rPr>
        <w:t>考核结果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根据汇总考核最终得分，具体考核评级及奖金系数如下所示：</w:t>
      </w:r>
    </w:p>
    <w:tbl>
      <w:tblPr>
        <w:tblStyle w:val="TableNormal0"/>
        <w:tblW w:w="887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7"/>
        <w:gridCol w:w="3136"/>
        <w:gridCol w:w="2113"/>
        <w:gridCol w:w="1955"/>
      </w:tblGrid>
      <w:tr>
        <w:tblPrEx>
          <w:tblW w:w="8871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/>
        </w:trPr>
        <w:tc>
          <w:tcPr>
            <w:tcW w:w="166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6" w:line="224" w:lineRule="auto"/>
              <w:ind w:left="452"/>
              <w:textAlignment w:val="baseline"/>
              <w:rPr>
                <w:rFonts w:ascii="仿宋" w:eastAsia="仿宋" w:hAnsi="仿宋" w:cs="仿宋"/>
                <w:sz w:val="31"/>
                <w:szCs w:val="31"/>
              </w:rPr>
            </w:pPr>
            <w:r>
              <w:rPr>
                <w:rFonts w:ascii="仿宋" w:eastAsia="仿宋" w:hAnsi="仿宋" w:cs="仿宋"/>
                <w:b/>
                <w:bCs/>
                <w:spacing w:val="-10"/>
                <w:sz w:val="31"/>
                <w:szCs w:val="31"/>
              </w:rPr>
              <w:t>序</w:t>
            </w:r>
            <w:r>
              <w:rPr>
                <w:rFonts w:ascii="仿宋" w:eastAsia="仿宋" w:hAnsi="仿宋" w:cs="仿宋"/>
                <w:spacing w:val="37"/>
                <w:sz w:val="31"/>
                <w:szCs w:val="31"/>
              </w:rPr>
              <w:t xml:space="preserve"> </w:t>
            </w:r>
            <w:r>
              <w:rPr>
                <w:rFonts w:ascii="仿宋" w:eastAsia="仿宋" w:hAnsi="仿宋" w:cs="仿宋"/>
                <w:b/>
                <w:bCs/>
                <w:spacing w:val="-10"/>
                <w:sz w:val="31"/>
                <w:szCs w:val="31"/>
              </w:rPr>
              <w:t>号</w:t>
            </w:r>
          </w:p>
        </w:tc>
        <w:tc>
          <w:tcPr>
            <w:tcW w:w="313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6" w:line="224" w:lineRule="auto"/>
              <w:ind w:left="945"/>
              <w:textAlignment w:val="baseline"/>
              <w:rPr>
                <w:rFonts w:ascii="仿宋" w:eastAsia="仿宋" w:hAnsi="仿宋" w:cs="仿宋"/>
                <w:sz w:val="31"/>
                <w:szCs w:val="31"/>
              </w:rPr>
            </w:pPr>
            <w:r>
              <w:rPr>
                <w:rFonts w:ascii="仿宋" w:eastAsia="仿宋" w:hAnsi="仿宋" w:cs="仿宋"/>
                <w:b/>
                <w:bCs/>
                <w:spacing w:val="2"/>
                <w:sz w:val="31"/>
                <w:szCs w:val="31"/>
              </w:rPr>
              <w:t>考核得分</w:t>
            </w:r>
          </w:p>
        </w:tc>
        <w:tc>
          <w:tcPr>
            <w:tcW w:w="2113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6" w:line="224" w:lineRule="auto"/>
              <w:ind w:left="440"/>
              <w:textAlignment w:val="baseline"/>
              <w:rPr>
                <w:rFonts w:ascii="仿宋" w:eastAsia="仿宋" w:hAnsi="仿宋" w:cs="仿宋"/>
                <w:sz w:val="31"/>
                <w:szCs w:val="31"/>
              </w:rPr>
            </w:pPr>
            <w:r>
              <w:rPr>
                <w:rFonts w:ascii="仿宋" w:eastAsia="仿宋" w:hAnsi="仿宋" w:cs="仿宋"/>
                <w:b/>
                <w:bCs/>
                <w:sz w:val="31"/>
                <w:szCs w:val="31"/>
              </w:rPr>
              <w:t>奖金系数</w:t>
            </w:r>
          </w:p>
        </w:tc>
        <w:tc>
          <w:tcPr>
            <w:tcW w:w="195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6" w:line="226" w:lineRule="auto"/>
              <w:ind w:left="596"/>
              <w:textAlignment w:val="baseline"/>
              <w:rPr>
                <w:rFonts w:ascii="仿宋" w:eastAsia="仿宋" w:hAnsi="仿宋" w:cs="仿宋"/>
                <w:sz w:val="31"/>
                <w:szCs w:val="31"/>
              </w:rPr>
            </w:pPr>
            <w:r>
              <w:rPr>
                <w:rFonts w:ascii="仿宋" w:eastAsia="仿宋" w:hAnsi="仿宋" w:cs="仿宋"/>
                <w:b/>
                <w:bCs/>
                <w:spacing w:val="-11"/>
                <w:sz w:val="31"/>
                <w:szCs w:val="31"/>
              </w:rPr>
              <w:t>备</w:t>
            </w:r>
            <w:r>
              <w:rPr>
                <w:rFonts w:ascii="仿宋" w:eastAsia="仿宋" w:hAnsi="仿宋" w:cs="仿宋"/>
                <w:spacing w:val="38"/>
                <w:sz w:val="31"/>
                <w:szCs w:val="31"/>
              </w:rPr>
              <w:t xml:space="preserve"> </w:t>
            </w:r>
            <w:r>
              <w:rPr>
                <w:rFonts w:ascii="仿宋" w:eastAsia="仿宋" w:hAnsi="仿宋" w:cs="仿宋"/>
                <w:b/>
                <w:bCs/>
                <w:spacing w:val="-11"/>
                <w:sz w:val="31"/>
                <w:szCs w:val="31"/>
              </w:rPr>
              <w:t>注</w:t>
            </w:r>
          </w:p>
        </w:tc>
      </w:tr>
      <w:tr>
        <w:tblPrEx>
          <w:tblW w:w="887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/>
        </w:trPr>
        <w:tc>
          <w:tcPr>
            <w:tcW w:w="166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3" w:line="224" w:lineRule="auto"/>
              <w:ind w:left="534"/>
              <w:textAlignment w:val="baseline"/>
              <w:rPr>
                <w:rFonts w:ascii="仿宋" w:eastAsia="仿宋" w:hAnsi="仿宋" w:cs="仿宋"/>
                <w:sz w:val="31"/>
                <w:szCs w:val="31"/>
              </w:rPr>
            </w:pPr>
            <w:r>
              <w:rPr>
                <w:rFonts w:ascii="仿宋" w:eastAsia="仿宋" w:hAnsi="仿宋" w:cs="仿宋"/>
                <w:spacing w:val="-1"/>
                <w:sz w:val="31"/>
                <w:szCs w:val="31"/>
              </w:rPr>
              <w:t>优秀</w:t>
            </w:r>
          </w:p>
        </w:tc>
        <w:tc>
          <w:tcPr>
            <w:tcW w:w="313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05" w:lineRule="auto"/>
              <w:ind w:left="781"/>
              <w:textAlignment w:val="baseline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/>
                <w:spacing w:val="-3"/>
                <w:sz w:val="28"/>
                <w:szCs w:val="28"/>
              </w:rPr>
              <w:t>考核得分</w:t>
            </w:r>
            <w:r>
              <w:rPr>
                <w:rFonts w:ascii="微软雅黑" w:eastAsia="微软雅黑" w:hAnsi="微软雅黑" w:cs="微软雅黑"/>
                <w:spacing w:val="-3"/>
                <w:sz w:val="28"/>
                <w:szCs w:val="28"/>
              </w:rPr>
              <w:t>&gt;</w:t>
            </w:r>
            <w:r>
              <w:rPr>
                <w:rFonts w:ascii="仿宋" w:eastAsia="仿宋" w:hAnsi="仿宋" w:cs="仿宋"/>
                <w:spacing w:val="-3"/>
                <w:sz w:val="28"/>
                <w:szCs w:val="28"/>
              </w:rPr>
              <w:t>90</w:t>
            </w:r>
          </w:p>
        </w:tc>
        <w:tc>
          <w:tcPr>
            <w:tcW w:w="2113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3" w:line="242" w:lineRule="auto"/>
              <w:ind w:left="848"/>
              <w:textAlignment w:val="baseline"/>
              <w:rPr>
                <w:rFonts w:ascii="仿宋" w:eastAsia="仿宋" w:hAnsi="仿宋" w:cs="仿宋"/>
                <w:sz w:val="31"/>
                <w:szCs w:val="31"/>
              </w:rPr>
            </w:pPr>
            <w:r>
              <w:rPr>
                <w:rFonts w:ascii="仿宋" w:eastAsia="仿宋" w:hAnsi="仿宋" w:cs="仿宋"/>
                <w:spacing w:val="-5"/>
                <w:sz w:val="31"/>
                <w:szCs w:val="31"/>
              </w:rPr>
              <w:t>1.2</w:t>
            </w:r>
          </w:p>
        </w:tc>
        <w:tc>
          <w:tcPr>
            <w:tcW w:w="195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8" w:line="223" w:lineRule="auto"/>
              <w:ind w:left="805" w:right="135" w:hanging="655"/>
              <w:textAlignment w:val="baseline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部门内占比不超20%</w:t>
            </w:r>
          </w:p>
        </w:tc>
      </w:tr>
      <w:tr>
        <w:tblPrEx>
          <w:tblW w:w="887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/>
        </w:trPr>
        <w:tc>
          <w:tcPr>
            <w:tcW w:w="166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4" w:line="224" w:lineRule="auto"/>
              <w:ind w:left="543"/>
              <w:textAlignment w:val="baseline"/>
              <w:rPr>
                <w:rFonts w:ascii="仿宋" w:eastAsia="仿宋" w:hAnsi="仿宋" w:cs="仿宋"/>
                <w:sz w:val="31"/>
                <w:szCs w:val="31"/>
              </w:rPr>
            </w:pPr>
            <w:r>
              <w:rPr>
                <w:rFonts w:ascii="仿宋" w:eastAsia="仿宋" w:hAnsi="仿宋" w:cs="仿宋"/>
                <w:spacing w:val="-3"/>
                <w:sz w:val="31"/>
                <w:szCs w:val="31"/>
              </w:rPr>
              <w:t>合格</w:t>
            </w:r>
          </w:p>
        </w:tc>
        <w:tc>
          <w:tcPr>
            <w:tcW w:w="313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3" w:line="205" w:lineRule="auto"/>
              <w:ind w:left="527"/>
              <w:textAlignment w:val="baseline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/>
                <w:spacing w:val="-1"/>
                <w:sz w:val="28"/>
                <w:szCs w:val="28"/>
              </w:rPr>
              <w:t>80</w:t>
            </w:r>
            <w:r>
              <w:rPr>
                <w:rFonts w:ascii="微软雅黑" w:eastAsia="微软雅黑" w:hAnsi="微软雅黑" w:cs="微软雅黑"/>
                <w:spacing w:val="-1"/>
                <w:sz w:val="28"/>
                <w:szCs w:val="28"/>
              </w:rPr>
              <w:t>≤</w:t>
            </w:r>
            <w:r>
              <w:rPr>
                <w:rFonts w:ascii="仿宋" w:eastAsia="仿宋" w:hAnsi="仿宋" w:cs="仿宋"/>
                <w:spacing w:val="-1"/>
                <w:sz w:val="28"/>
                <w:szCs w:val="28"/>
              </w:rPr>
              <w:t>考核得分</w:t>
            </w:r>
            <w:r>
              <w:rPr>
                <w:rFonts w:ascii="微软雅黑" w:eastAsia="微软雅黑" w:hAnsi="微软雅黑" w:cs="微软雅黑"/>
                <w:spacing w:val="-1"/>
                <w:sz w:val="28"/>
                <w:szCs w:val="28"/>
              </w:rPr>
              <w:t>≤</w:t>
            </w:r>
            <w:r>
              <w:rPr>
                <w:rFonts w:ascii="仿宋" w:eastAsia="仿宋" w:hAnsi="仿宋" w:cs="仿宋"/>
                <w:spacing w:val="-1"/>
                <w:sz w:val="28"/>
                <w:szCs w:val="28"/>
              </w:rPr>
              <w:t>90</w:t>
            </w:r>
          </w:p>
        </w:tc>
        <w:tc>
          <w:tcPr>
            <w:tcW w:w="2113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5" w:line="409" w:lineRule="exact"/>
              <w:ind w:left="1009"/>
              <w:textAlignment w:val="baseline"/>
              <w:rPr>
                <w:rFonts w:ascii="仿宋" w:eastAsia="仿宋" w:hAnsi="仿宋" w:cs="仿宋"/>
                <w:sz w:val="31"/>
                <w:szCs w:val="31"/>
              </w:rPr>
            </w:pPr>
            <w:r>
              <w:rPr>
                <w:rFonts w:ascii="仿宋" w:eastAsia="仿宋" w:hAnsi="仿宋" w:cs="仿宋"/>
                <w:position w:val="2"/>
                <w:sz w:val="31"/>
                <w:szCs w:val="31"/>
              </w:rPr>
              <w:t>1</w:t>
            </w:r>
          </w:p>
        </w:tc>
        <w:tc>
          <w:tcPr>
            <w:tcW w:w="195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>
        <w:tblPrEx>
          <w:tblW w:w="887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/>
        </w:trPr>
        <w:tc>
          <w:tcPr>
            <w:tcW w:w="166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5" w:line="224" w:lineRule="auto"/>
              <w:ind w:left="386" w:leftChars="0"/>
              <w:textAlignment w:val="baseline"/>
              <w:rPr>
                <w:rFonts w:ascii="仿宋" w:eastAsia="仿宋" w:hAnsi="仿宋" w:cs="仿宋"/>
                <w:snapToGrid w:val="0"/>
                <w:color w:val="000000"/>
                <w:kern w:val="0"/>
                <w:sz w:val="31"/>
                <w:szCs w:val="31"/>
                <w:lang w:val="en-US" w:eastAsia="en-US" w:bidi="ar-SA"/>
              </w:rPr>
            </w:pPr>
            <w:r>
              <w:rPr>
                <w:rFonts w:ascii="仿宋" w:eastAsia="仿宋" w:hAnsi="仿宋" w:cs="仿宋"/>
                <w:spacing w:val="-2"/>
                <w:sz w:val="31"/>
                <w:szCs w:val="31"/>
              </w:rPr>
              <w:t>需改进</w:t>
            </w:r>
          </w:p>
        </w:tc>
        <w:tc>
          <w:tcPr>
            <w:tcW w:w="313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3" w:line="205" w:lineRule="auto"/>
              <w:ind w:left="507" w:leftChars="0"/>
              <w:textAlignment w:val="baseline"/>
              <w:rPr>
                <w:rFonts w:ascii="仿宋" w:eastAsia="仿宋" w:hAnsi="仿宋" w:cs="仿宋"/>
                <w:snapToGrid w:val="0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ascii="微软雅黑" w:eastAsia="微软雅黑" w:hAnsi="微软雅黑" w:cs="微软雅黑"/>
                <w:spacing w:val="-2"/>
                <w:sz w:val="28"/>
                <w:szCs w:val="28"/>
              </w:rPr>
              <w:t>70≤</w:t>
            </w:r>
            <w:r>
              <w:rPr>
                <w:rFonts w:ascii="仿宋" w:eastAsia="仿宋" w:hAnsi="仿宋" w:cs="仿宋"/>
                <w:spacing w:val="-2"/>
                <w:sz w:val="28"/>
                <w:szCs w:val="28"/>
              </w:rPr>
              <w:t>考核得分</w:t>
            </w:r>
            <w:r>
              <w:rPr>
                <w:rFonts w:ascii="微软雅黑" w:eastAsia="微软雅黑" w:hAnsi="微软雅黑" w:cs="微软雅黑"/>
                <w:spacing w:val="-2"/>
                <w:sz w:val="28"/>
                <w:szCs w:val="28"/>
              </w:rPr>
              <w:t>≤</w:t>
            </w:r>
            <w:r>
              <w:rPr>
                <w:rFonts w:ascii="仿宋" w:eastAsia="仿宋" w:hAnsi="仿宋" w:cs="仿宋"/>
                <w:spacing w:val="-2"/>
                <w:sz w:val="28"/>
                <w:szCs w:val="28"/>
              </w:rPr>
              <w:t>80</w:t>
            </w:r>
          </w:p>
        </w:tc>
        <w:tc>
          <w:tcPr>
            <w:tcW w:w="2113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5" w:line="242" w:lineRule="auto"/>
              <w:ind w:left="827" w:leftChars="0"/>
              <w:textAlignment w:val="baseline"/>
              <w:rPr>
                <w:rFonts w:ascii="仿宋" w:eastAsia="仿宋" w:hAnsi="仿宋" w:cs="仿宋"/>
                <w:snapToGrid w:val="0"/>
                <w:color w:val="000000"/>
                <w:kern w:val="0"/>
                <w:sz w:val="31"/>
                <w:szCs w:val="31"/>
                <w:lang w:val="en-US" w:eastAsia="en-US" w:bidi="ar-SA"/>
              </w:rPr>
            </w:pPr>
            <w:r>
              <w:rPr>
                <w:rFonts w:ascii="仿宋" w:eastAsia="仿宋" w:hAnsi="仿宋" w:cs="仿宋"/>
                <w:sz w:val="31"/>
                <w:szCs w:val="31"/>
              </w:rPr>
              <w:t>0.8</w:t>
            </w:r>
          </w:p>
        </w:tc>
        <w:tc>
          <w:tcPr>
            <w:tcW w:w="195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>
        <w:tblPrEx>
          <w:tblW w:w="887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/>
        </w:trPr>
        <w:tc>
          <w:tcPr>
            <w:tcW w:w="166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6" w:line="224" w:lineRule="auto"/>
              <w:ind w:left="381" w:leftChars="0"/>
              <w:textAlignment w:val="baseline"/>
              <w:rPr>
                <w:rFonts w:ascii="仿宋" w:eastAsia="仿宋" w:hAnsi="仿宋" w:cs="仿宋"/>
                <w:snapToGrid w:val="0"/>
                <w:color w:val="000000"/>
                <w:kern w:val="0"/>
                <w:sz w:val="31"/>
                <w:szCs w:val="31"/>
                <w:lang w:val="en-US" w:eastAsia="en-US" w:bidi="ar-SA"/>
              </w:rPr>
            </w:pPr>
            <w:r>
              <w:rPr>
                <w:rFonts w:ascii="仿宋" w:eastAsia="仿宋" w:hAnsi="仿宋" w:cs="仿宋"/>
                <w:sz w:val="31"/>
                <w:szCs w:val="31"/>
              </w:rPr>
              <w:t>不合格</w:t>
            </w:r>
          </w:p>
        </w:tc>
        <w:tc>
          <w:tcPr>
            <w:tcW w:w="313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05" w:lineRule="auto"/>
              <w:ind w:left="781" w:leftChars="0"/>
              <w:textAlignment w:val="baseline"/>
              <w:rPr>
                <w:rFonts w:ascii="仿宋" w:eastAsia="仿宋" w:hAnsi="仿宋" w:cs="仿宋"/>
                <w:snapToGrid w:val="0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ascii="仿宋" w:eastAsia="仿宋" w:hAnsi="仿宋" w:cs="仿宋"/>
                <w:spacing w:val="-3"/>
                <w:sz w:val="28"/>
                <w:szCs w:val="28"/>
              </w:rPr>
              <w:t>考核得分</w:t>
            </w:r>
            <w:r>
              <w:rPr>
                <w:rFonts w:ascii="微软雅黑" w:eastAsia="微软雅黑" w:hAnsi="微软雅黑" w:cs="微软雅黑"/>
                <w:spacing w:val="-3"/>
                <w:sz w:val="28"/>
                <w:szCs w:val="28"/>
              </w:rPr>
              <w:t>&lt;</w:t>
            </w:r>
            <w:r>
              <w:rPr>
                <w:rFonts w:ascii="仿宋" w:eastAsia="仿宋" w:hAnsi="仿宋" w:cs="仿宋"/>
                <w:spacing w:val="-3"/>
                <w:sz w:val="28"/>
                <w:szCs w:val="28"/>
              </w:rPr>
              <w:t>70</w:t>
            </w:r>
          </w:p>
        </w:tc>
        <w:tc>
          <w:tcPr>
            <w:tcW w:w="2113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6" w:line="242" w:lineRule="auto"/>
              <w:ind w:left="827" w:leftChars="0"/>
              <w:textAlignment w:val="baseline"/>
              <w:rPr>
                <w:rFonts w:ascii="仿宋" w:eastAsia="仿宋" w:hAnsi="仿宋" w:cs="仿宋"/>
                <w:snapToGrid w:val="0"/>
                <w:color w:val="000000"/>
                <w:kern w:val="0"/>
                <w:sz w:val="31"/>
                <w:szCs w:val="31"/>
                <w:lang w:val="en-US" w:eastAsia="en-US" w:bidi="ar-SA"/>
              </w:rPr>
            </w:pPr>
            <w:r>
              <w:rPr>
                <w:rFonts w:ascii="仿宋" w:eastAsia="仿宋" w:hAnsi="仿宋" w:cs="仿宋"/>
                <w:sz w:val="31"/>
                <w:szCs w:val="31"/>
              </w:rPr>
              <w:t>0.5</w:t>
            </w:r>
          </w:p>
        </w:tc>
        <w:tc>
          <w:tcPr>
            <w:tcW w:w="195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17887"/>
      <w:r>
        <w:rPr>
          <w:rFonts w:hint="default"/>
          <w:lang w:val="en-US" w:eastAsia="zh-CN"/>
        </w:rPr>
        <w:t>考评结果的运用</w:t>
      </w:r>
      <w:bookmarkEnd w:id="19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19240"/>
      <w:r>
        <w:rPr>
          <w:rFonts w:hint="default"/>
          <w:lang w:val="en-US" w:eastAsia="zh-CN"/>
        </w:rPr>
        <w:t>年度评优</w:t>
      </w:r>
      <w:bookmarkEnd w:id="2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年终考评结果作为年度评优的直接依据，考核结果为“需改进”“不合格”的员工不参与年度优秀员工评选。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19772"/>
      <w:r>
        <w:rPr>
          <w:rFonts w:hint="default"/>
          <w:lang w:val="en-US" w:eastAsia="zh-CN"/>
        </w:rPr>
        <w:t>员工定级</w:t>
      </w:r>
      <w:bookmarkEnd w:id="2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年度考评结果可作为员工薪酬定级的依据，为调薪提供参考标准。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25446"/>
      <w:r>
        <w:rPr>
          <w:rFonts w:hint="default"/>
          <w:lang w:val="en-US" w:eastAsia="zh-CN"/>
        </w:rPr>
        <w:t>年度调薪</w:t>
      </w:r>
      <w:bookmarkEnd w:id="2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根据年终考评结果及员工定级情况，对薪酬不合理的员工进行调薪，以保持公司薪酬的外部公平性与吸引力。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5421"/>
      <w:r>
        <w:rPr>
          <w:rFonts w:hint="default"/>
          <w:lang w:val="en-US" w:eastAsia="zh-CN"/>
        </w:rPr>
        <w:t>考核流程</w:t>
      </w:r>
      <w:bookmarkEnd w:id="2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个人申报：每季度第一个月5日前，员工填写《绩效评价表》并报送部门负责人。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部门审核：每季度第一个月10日前，部门负责人审核评价本部员工绩效，外派员工绩效由业主单位相关部门负责人审核签字。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公司审定：每季度第一个月15日前，公司执行董事主持绩效考核会议审定员工绩效等级。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考核公示：每季度第一个月20日前，总经部公示绩效考核等级。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薪酬发放：每月30日前，总经部根据绩效考核等级发放绩效奖金。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4" w:name="_Toc1720"/>
      <w:r>
        <w:rPr>
          <w:rFonts w:hint="default"/>
          <w:lang w:val="en-US" w:eastAsia="zh-CN"/>
        </w:rPr>
        <w:t>申诉的受理</w:t>
      </w:r>
      <w:bookmarkEnd w:id="2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被考核者如对考核结果有异议，可在获知结果后3天内向总经部提出申诉。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总经部在7天内核实情况、听取多方意见，并与当事人沟通后反馈处理结果。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5" w:name="_Toc12900"/>
      <w:r>
        <w:rPr>
          <w:rFonts w:hint="default"/>
          <w:lang w:val="en-US" w:eastAsia="zh-CN"/>
        </w:rPr>
        <w:t>绩效问题改进</w:t>
      </w:r>
      <w:bookmarkEnd w:id="2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总经部依据绩效考核分析结果及部门反馈的问题汇总，制定《绩效问题改进计划》，报总经理审批后执行，持续优化绩效考核体系。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6" w:name="_Toc12198"/>
      <w:r>
        <w:rPr>
          <w:rFonts w:hint="default"/>
          <w:lang w:val="en-US" w:eastAsia="zh-CN"/>
        </w:rPr>
        <w:t>KPI指标</w:t>
      </w:r>
      <w:bookmarkEnd w:id="26"/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4097"/>
        <w:gridCol w:w="1611"/>
        <w:gridCol w:w="1275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  <w:t>指标名称</w:t>
            </w:r>
          </w:p>
        </w:tc>
        <w:tc>
          <w:tcPr>
            <w:tcW w:w="4097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  <w:t>计算公式</w:t>
            </w:r>
          </w:p>
        </w:tc>
        <w:tc>
          <w:tcPr>
            <w:tcW w:w="1611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  <w:t>考核要求</w:t>
            </w:r>
          </w:p>
        </w:tc>
        <w:tc>
          <w:tcPr>
            <w:tcW w:w="1275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  <w:t>考核周期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绩效考核覆盖率</w:t>
            </w:r>
          </w:p>
        </w:tc>
        <w:tc>
          <w:tcPr>
            <w:tcW w:w="4097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参与绩效考核运维人员/运维人员总数 × 100%</w:t>
            </w:r>
          </w:p>
        </w:tc>
        <w:tc>
          <w:tcPr>
            <w:tcW w:w="1611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  <w:t>100%</w:t>
            </w:r>
          </w:p>
        </w:tc>
        <w:tc>
          <w:tcPr>
            <w:tcW w:w="1275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季度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1877</Words>
  <Characters>2060</Characters>
  <Application>Microsoft Office Word</Application>
  <DocSecurity>0</DocSecurity>
  <Lines>0</Lines>
  <Paragraphs>0</Paragraphs>
  <ScaleCrop>false</ScaleCrop>
  <Company/>
  <LinksUpToDate>false</LinksUpToDate>
  <CharactersWithSpaces>2171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18442</dc:creator>
  <cp:lastModifiedBy>郝宇</cp:lastModifiedBy>
  <cp:revision>0</cp:revision>
  <dcterms:created xsi:type="dcterms:W3CDTF">2025-09-06T12:49:00Z</dcterms:created>
  <dcterms:modified xsi:type="dcterms:W3CDTF">2025-12-23T19:36:03Z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0D32182671224755A6D4CE835A5A6EA6_12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