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right="0" w:firstLine="0" w:leftChars="0" w:rightChars="0" w:firstLineChars="0"/>
        <w:jc w:val="center"/>
        <w:textAlignment w:val="baseline"/>
        <w:rPr>
          <w:rFonts w:hint="default"/>
          <w:lang w:val="en-US" w:eastAsia="zh-CN"/>
        </w:rPr>
      </w:pPr>
      <w:bookmarkStart w:id="0" w:name="_Toc23360"/>
      <w:bookmarkStart w:id="1" w:name="_GoBack"/>
      <w: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-1186815</wp:posOffset>
            </wp:positionH>
            <wp:positionV relativeFrom="paragraph">
              <wp:posOffset>15875</wp:posOffset>
            </wp:positionV>
            <wp:extent cx="7609840" cy="9761855"/>
            <wp:effectExtent l="0" t="0" r="10160" b="6985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7609840" cy="9761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bookmarkEnd w:id="1"/>
      <w:r>
        <w:rPr>
          <w:rFonts w:hint="eastAsia"/>
          <w:lang w:val="en-US" w:eastAsia="zh-CN"/>
        </w:rPr>
        <w:t>天津市华夏电缆有限公司</w:t>
      </w:r>
      <w:bookmarkEnd w:id="0"/>
    </w:p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right="0" w:firstLine="0" w:leftChars="0" w:rightChars="0" w:firstLineChars="0"/>
        <w:jc w:val="center"/>
        <w:textAlignment w:val="baseline"/>
        <w:rPr>
          <w:rFonts w:hint="default"/>
          <w:lang w:val="en-US" w:eastAsia="zh-CN"/>
        </w:rPr>
      </w:pPr>
      <w:bookmarkStart w:id="2" w:name="_Toc31309"/>
      <w:r>
        <w:rPr>
          <w:rFonts w:hint="eastAsia"/>
          <w:lang w:val="en-US" w:eastAsia="zh-CN"/>
        </w:rPr>
        <w:t>工作交接管理办法</w:t>
      </w:r>
      <w:bookmarkEnd w:id="2"/>
    </w:p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right="0" w:firstLine="0" w:leftChars="0" w:rightChars="0" w:firstLineChars="0"/>
        <w:jc w:val="center"/>
        <w:textAlignment w:val="baseline"/>
        <w:rPr>
          <w:rFonts w:hint="eastAsia"/>
          <w:lang w:val="en-US" w:eastAsia="zh-CN"/>
        </w:rPr>
      </w:pPr>
      <w:bookmarkStart w:id="3" w:name="_Toc22606"/>
      <w:r>
        <w:rPr>
          <w:rFonts w:hint="eastAsia"/>
          <w:lang w:val="en-US" w:eastAsia="zh-CN"/>
        </w:rPr>
        <w:t>（HXDL-ITSS-0506）</w:t>
      </w:r>
      <w:bookmarkEnd w:id="3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right="0" w:firstLine="0" w:leftChars="0" w:rightChars="0" w:firstLineChars="0"/>
        <w:jc w:val="center"/>
        <w:textAlignment w:val="baseline"/>
        <w:rPr>
          <w:rFonts w:hint="eastAsia"/>
          <w:lang w:val="en-US" w:eastAsia="zh-CN"/>
        </w:rPr>
      </w:pPr>
    </w:p>
    <w:tbl>
      <w:tblPr>
        <w:tblStyle w:val="TableGrid"/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>
        <w:tblPrEx>
          <w:tblW w:w="0" w:type="auto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181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李欣雨</w:t>
            </w:r>
          </w:p>
        </w:tc>
        <w:tc>
          <w:tcPr>
            <w:tcW w:w="4261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2025.07.07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1818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Arial" w:hAnsi="Arial" w:cs="Arial" w:hint="eastAsia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张智宏</w:t>
            </w:r>
          </w:p>
        </w:tc>
        <w:tc>
          <w:tcPr>
            <w:tcW w:w="4261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right"/>
              <w:textAlignment w:val="baseline"/>
              <w:rPr>
                <w:rFonts w:ascii="Arial" w:eastAsia="Arial" w:hAnsi="Arial" w:cs="Arial" w:hint="eastAsia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2025.07.07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  <w:jc w:val="center"/>
        </w:trPr>
        <w:tc>
          <w:tcPr>
            <w:tcW w:w="181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left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陈垒</w:t>
            </w:r>
          </w:p>
        </w:tc>
        <w:tc>
          <w:tcPr>
            <w:tcW w:w="4261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2025.07.07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98" w:line="220" w:lineRule="auto"/>
        <w:ind w:left="3195"/>
        <w:textAlignment w:val="baseline"/>
        <w:outlineLvl w:val="0"/>
        <w:rPr>
          <w:rFonts w:ascii="宋体" w:eastAsia="宋体" w:hAnsi="宋体" w:cs="宋体"/>
          <w:sz w:val="30"/>
          <w:szCs w:val="30"/>
        </w:rPr>
      </w:pPr>
      <w:bookmarkStart w:id="4" w:name="_Toc1470"/>
      <w:r>
        <w:rPr>
          <w:rFonts w:ascii="宋体" w:eastAsia="宋体" w:hAnsi="宋体" w:cs="宋体"/>
          <w:b/>
          <w:bCs/>
          <w:spacing w:val="-4"/>
          <w:sz w:val="30"/>
          <w:szCs w:val="30"/>
        </w:rPr>
        <w:t>文件编制和变更履历</w:t>
      </w:r>
      <w:bookmarkEnd w:id="4"/>
    </w:p>
    <w:tbl>
      <w:tblPr>
        <w:tblStyle w:val="TableNormal00"/>
        <w:tblW w:w="9005" w:type="dxa"/>
        <w:tblInd w:w="3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5"/>
        <w:gridCol w:w="881"/>
        <w:gridCol w:w="1274"/>
        <w:gridCol w:w="957"/>
        <w:gridCol w:w="1377"/>
        <w:gridCol w:w="1017"/>
        <w:gridCol w:w="1271"/>
        <w:gridCol w:w="1383"/>
      </w:tblGrid>
      <w:tr>
        <w:tblPrEx>
          <w:tblW w:w="9005" w:type="dxa"/>
          <w:tblInd w:w="34" w:type="dxa"/>
          <w:tbl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  <w:insideH w:val="single" w:sz="6" w:space="0" w:color="000000"/>
            <w:insideV w:val="single" w:sz="6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/>
        </w:trPr>
        <w:tc>
          <w:tcPr>
            <w:tcW w:w="845" w:type="dxa"/>
            <w:vMerge w:val="restart"/>
            <w:tcBorders>
              <w:top w:val="single" w:sz="10" w:space="0" w:color="000000"/>
              <w:left w:val="single" w:sz="10" w:space="0" w:color="000000"/>
              <w:bottom w:val="nil"/>
            </w:tcBorders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19" w:lineRule="auto"/>
              <w:ind w:left="172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版本</w:t>
            </w:r>
          </w:p>
        </w:tc>
        <w:tc>
          <w:tcPr>
            <w:tcW w:w="2155" w:type="dxa"/>
            <w:gridSpan w:val="2"/>
            <w:tcBorders>
              <w:top w:val="single" w:sz="10" w:space="0" w:color="000000"/>
            </w:tcBorders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528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4"/>
                <w:sz w:val="24"/>
                <w:szCs w:val="24"/>
              </w:rPr>
              <w:t>编制/更改</w:t>
            </w:r>
          </w:p>
        </w:tc>
        <w:tc>
          <w:tcPr>
            <w:tcW w:w="2334" w:type="dxa"/>
            <w:gridSpan w:val="2"/>
            <w:tcBorders>
              <w:top w:val="single" w:sz="10" w:space="0" w:color="000000"/>
            </w:tcBorders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19" w:lineRule="auto"/>
              <w:ind w:left="927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6"/>
                <w:sz w:val="24"/>
                <w:szCs w:val="24"/>
              </w:rPr>
              <w:t>发布</w:t>
            </w:r>
          </w:p>
        </w:tc>
        <w:tc>
          <w:tcPr>
            <w:tcW w:w="2288" w:type="dxa"/>
            <w:gridSpan w:val="2"/>
            <w:tcBorders>
              <w:top w:val="single" w:sz="10" w:space="0" w:color="000000"/>
            </w:tcBorders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911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6"/>
                <w:sz w:val="24"/>
                <w:szCs w:val="24"/>
              </w:rPr>
              <w:t>实施</w:t>
            </w:r>
          </w:p>
        </w:tc>
        <w:tc>
          <w:tcPr>
            <w:tcW w:w="1383" w:type="dxa"/>
            <w:vMerge w:val="restart"/>
            <w:tcBorders>
              <w:top w:val="single" w:sz="10" w:space="0" w:color="000000"/>
              <w:bottom w:val="nil"/>
              <w:right w:val="single" w:sz="10" w:space="0" w:color="000000"/>
            </w:tcBorders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217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更改记录</w:t>
            </w:r>
          </w:p>
        </w:tc>
      </w:tr>
      <w:tr>
        <w:tblPrEx>
          <w:tblW w:w="9005" w:type="dxa"/>
          <w:tblInd w:w="3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/>
        </w:trPr>
        <w:tc>
          <w:tcPr>
            <w:tcW w:w="845" w:type="dxa"/>
            <w:vMerge/>
            <w:tcBorders>
              <w:top w:val="nil"/>
              <w:left w:val="single" w:sz="10" w:space="0" w:color="000000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881" w:type="dxa"/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191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作者</w:t>
            </w:r>
          </w:p>
        </w:tc>
        <w:tc>
          <w:tcPr>
            <w:tcW w:w="1274" w:type="dxa"/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30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957" w:type="dxa"/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244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8"/>
                <w:sz w:val="24"/>
                <w:szCs w:val="24"/>
              </w:rPr>
              <w:t>审核</w:t>
            </w:r>
          </w:p>
        </w:tc>
        <w:tc>
          <w:tcPr>
            <w:tcW w:w="1377" w:type="dxa"/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87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017" w:type="dxa"/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1" w:lineRule="auto"/>
              <w:ind w:left="268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批准</w:t>
            </w:r>
          </w:p>
        </w:tc>
        <w:tc>
          <w:tcPr>
            <w:tcW w:w="1271" w:type="dxa"/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41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383" w:type="dxa"/>
            <w:vMerge/>
            <w:tcBorders>
              <w:top w:val="nil"/>
              <w:right w:val="single" w:sz="10" w:space="0" w:color="000000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</w:tr>
      <w:tr>
        <w:tblPrEx>
          <w:tblW w:w="9005" w:type="dxa"/>
          <w:tblInd w:w="3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/>
        </w:trPr>
        <w:tc>
          <w:tcPr>
            <w:tcW w:w="845" w:type="dxa"/>
            <w:tcBorders>
              <w:left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95"/>
              <w:textAlignment w:val="baseline"/>
            </w:pPr>
            <w:r>
              <w:rPr>
                <w:spacing w:val="-1"/>
              </w:rPr>
              <w:t>V1.0</w:t>
            </w:r>
          </w:p>
        </w:tc>
        <w:tc>
          <w:tcPr>
            <w:tcW w:w="881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25"/>
              <w:textAlignment w:val="baseline"/>
            </w:pPr>
            <w:r>
              <w:rPr>
                <w:rFonts w:hint="eastAsia"/>
                <w:u w:val="none"/>
                <w:vertAlign w:val="baseline"/>
                <w:lang w:val="en-US" w:eastAsia="zh-CN"/>
              </w:rPr>
              <w:t>李欣雨</w:t>
            </w:r>
          </w:p>
        </w:tc>
        <w:tc>
          <w:tcPr>
            <w:tcW w:w="1274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04"/>
              <w:textAlignment w:val="baseline"/>
            </w:pPr>
            <w:r>
              <w:rPr>
                <w:spacing w:val="-1"/>
              </w:rPr>
              <w:t>2025.7.7</w:t>
            </w:r>
          </w:p>
        </w:tc>
        <w:tc>
          <w:tcPr>
            <w:tcW w:w="95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68"/>
              <w:textAlignment w:val="baseline"/>
            </w:pPr>
            <w:r>
              <w:rPr>
                <w:spacing w:val="-4"/>
              </w:rPr>
              <w:t>张智宏</w:t>
            </w:r>
          </w:p>
        </w:tc>
        <w:tc>
          <w:tcPr>
            <w:tcW w:w="137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61"/>
              <w:textAlignment w:val="baseline"/>
            </w:pPr>
            <w:r>
              <w:rPr>
                <w:spacing w:val="-1"/>
              </w:rPr>
              <w:t>2025.7.7</w:t>
            </w:r>
          </w:p>
        </w:tc>
        <w:tc>
          <w:tcPr>
            <w:tcW w:w="10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20" w:lineRule="auto"/>
              <w:ind w:left="202"/>
              <w:textAlignment w:val="baseline"/>
            </w:pPr>
            <w:r>
              <w:rPr>
                <w:spacing w:val="-3"/>
              </w:rPr>
              <w:t>陈垒</w:t>
            </w:r>
          </w:p>
        </w:tc>
        <w:tc>
          <w:tcPr>
            <w:tcW w:w="1271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220"/>
              <w:textAlignment w:val="baseline"/>
            </w:pPr>
            <w:r>
              <w:rPr>
                <w:spacing w:val="-1"/>
              </w:rPr>
              <w:t>2025.7.7</w:t>
            </w:r>
          </w:p>
        </w:tc>
        <w:tc>
          <w:tcPr>
            <w:tcW w:w="1383" w:type="dxa"/>
            <w:tcBorders>
              <w:right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7" w:lineRule="auto"/>
              <w:ind w:left="341"/>
              <w:textAlignment w:val="baseline"/>
            </w:pPr>
            <w:r>
              <w:rPr>
                <w:spacing w:val="-5"/>
              </w:rPr>
              <w:t>首次发布</w:t>
            </w:r>
          </w:p>
        </w:tc>
      </w:tr>
      <w:tr>
        <w:tblPrEx>
          <w:tblW w:w="9005" w:type="dxa"/>
          <w:tblInd w:w="3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/>
        </w:trPr>
        <w:tc>
          <w:tcPr>
            <w:tcW w:w="845" w:type="dxa"/>
            <w:tcBorders>
              <w:left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195"/>
              <w:textAlignment w:val="baseline"/>
            </w:pPr>
          </w:p>
        </w:tc>
        <w:tc>
          <w:tcPr>
            <w:tcW w:w="881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25"/>
              <w:textAlignment w:val="baseline"/>
            </w:pPr>
          </w:p>
        </w:tc>
        <w:tc>
          <w:tcPr>
            <w:tcW w:w="1274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10"/>
              <w:textAlignment w:val="baseline"/>
            </w:pPr>
          </w:p>
        </w:tc>
        <w:tc>
          <w:tcPr>
            <w:tcW w:w="95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68"/>
              <w:textAlignment w:val="baseline"/>
            </w:pPr>
          </w:p>
        </w:tc>
        <w:tc>
          <w:tcPr>
            <w:tcW w:w="137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67"/>
              <w:textAlignment w:val="baseline"/>
            </w:pPr>
          </w:p>
        </w:tc>
        <w:tc>
          <w:tcPr>
            <w:tcW w:w="10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20" w:lineRule="auto"/>
              <w:ind w:left="202"/>
              <w:textAlignment w:val="baseline"/>
            </w:pPr>
          </w:p>
        </w:tc>
        <w:tc>
          <w:tcPr>
            <w:tcW w:w="1271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20"/>
              <w:textAlignment w:val="baseline"/>
            </w:pPr>
          </w:p>
        </w:tc>
        <w:tc>
          <w:tcPr>
            <w:tcW w:w="1383" w:type="dxa"/>
            <w:tcBorders>
              <w:right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436"/>
              <w:textAlignment w:val="baseline"/>
            </w:pPr>
          </w:p>
        </w:tc>
      </w:tr>
      <w:tr>
        <w:tblPrEx>
          <w:tblW w:w="9005" w:type="dxa"/>
          <w:tblInd w:w="3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/>
        </w:trPr>
        <w:tc>
          <w:tcPr>
            <w:tcW w:w="845" w:type="dxa"/>
            <w:tcBorders>
              <w:left w:val="single" w:sz="10" w:space="0" w:color="000000"/>
              <w:bottom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195"/>
              <w:textAlignment w:val="baseline"/>
            </w:pPr>
          </w:p>
        </w:tc>
        <w:tc>
          <w:tcPr>
            <w:tcW w:w="881" w:type="dxa"/>
            <w:tcBorders>
              <w:bottom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125"/>
              <w:textAlignment w:val="baseline"/>
            </w:pPr>
          </w:p>
        </w:tc>
        <w:tc>
          <w:tcPr>
            <w:tcW w:w="1274" w:type="dxa"/>
            <w:tcBorders>
              <w:bottom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10"/>
              <w:textAlignment w:val="baseline"/>
            </w:pPr>
          </w:p>
        </w:tc>
        <w:tc>
          <w:tcPr>
            <w:tcW w:w="957" w:type="dxa"/>
            <w:tcBorders>
              <w:bottom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8" w:lineRule="auto"/>
              <w:ind w:left="164"/>
              <w:textAlignment w:val="baseline"/>
            </w:pPr>
          </w:p>
        </w:tc>
        <w:tc>
          <w:tcPr>
            <w:tcW w:w="1377" w:type="dxa"/>
            <w:tcBorders>
              <w:bottom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67"/>
              <w:textAlignment w:val="baseline"/>
            </w:pPr>
          </w:p>
        </w:tc>
        <w:tc>
          <w:tcPr>
            <w:tcW w:w="1017" w:type="dxa"/>
            <w:tcBorders>
              <w:bottom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20" w:lineRule="auto"/>
              <w:ind w:left="202"/>
              <w:textAlignment w:val="baseline"/>
            </w:pPr>
          </w:p>
        </w:tc>
        <w:tc>
          <w:tcPr>
            <w:tcW w:w="1271" w:type="dxa"/>
            <w:tcBorders>
              <w:bottom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20"/>
              <w:textAlignment w:val="baseline"/>
            </w:pPr>
          </w:p>
        </w:tc>
        <w:tc>
          <w:tcPr>
            <w:tcW w:w="1383" w:type="dxa"/>
            <w:tcBorders>
              <w:bottom w:val="single" w:sz="10" w:space="0" w:color="000000"/>
              <w:right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436"/>
              <w:textAlignment w:val="baseline"/>
            </w:pPr>
          </w:p>
        </w:tc>
      </w:tr>
    </w:tbl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6450"/>
        <w:docPartObj>
          <w:docPartGallery w:val="Table of Contents"/>
          <w:docPartUnique/>
        </w:docPartObj>
      </w:sdtPr>
      <w:sdtEndPr>
        <w:rPr>
          <w:rFonts w:ascii="Arial" w:eastAsia="宋体" w:hAnsi="Arial" w:cs="Arial" w:hint="default"/>
          <w:snapToGrid w:val="0"/>
          <w:color w:val="000000"/>
          <w:kern w:val="0"/>
          <w:sz w:val="21"/>
          <w:szCs w:val="21"/>
          <w:lang w:val="en-US" w:eastAsia="zh-CN" w:bidi="ar-SA"/>
        </w:rPr>
      </w:sdtEndPr>
      <w:sdtContent>
        <w:p>
          <w:pPr>
            <w:spacing w:before="0" w:beforeLines="0" w:after="0" w:afterLines="0" w:line="240" w:lineRule="auto"/>
            <w:ind w:left="0" w:right="0" w:firstLine="0" w:leftChars="0" w:rightChars="0" w:firstLineChars="0"/>
            <w:jc w:val="center"/>
          </w:pPr>
          <w:r>
            <w:rPr>
              <w:rFonts w:ascii="宋体" w:eastAsia="宋体" w:hAnsi="宋体"/>
              <w:sz w:val="21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TOC \o "1-3" \h \u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_Toc23360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天津市华夏电缆有限公司</w:t>
          </w:r>
          <w:r>
            <w:tab/>
          </w:r>
          <w:r>
            <w:fldChar w:fldCharType="begin"/>
          </w:r>
          <w:r>
            <w:instrText xml:space="preserve"> PAGEREF _Toc23360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_Toc31309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工作交接管理办法</w:t>
          </w:r>
          <w:r>
            <w:tab/>
          </w:r>
          <w:r>
            <w:fldChar w:fldCharType="begin"/>
          </w:r>
          <w:r>
            <w:instrText xml:space="preserve"> PAGEREF _Toc31309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_Toc22606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（HXDL-ITSS-0506）</w:t>
          </w:r>
          <w:r>
            <w:tab/>
          </w:r>
          <w:r>
            <w:fldChar w:fldCharType="begin"/>
          </w:r>
          <w:r>
            <w:instrText xml:space="preserve"> PAGEREF _Toc22606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_Toc1470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ascii="宋体" w:eastAsia="宋体" w:hAnsi="宋体" w:cs="宋体"/>
              <w:bCs/>
              <w:spacing w:val="-4"/>
              <w:szCs w:val="30"/>
            </w:rPr>
            <w:t>文件编制和变更履历</w:t>
          </w:r>
          <w:r>
            <w:tab/>
          </w:r>
          <w:r>
            <w:fldChar w:fldCharType="begin"/>
          </w:r>
          <w:r>
            <w:instrText xml:space="preserve"> PAGEREF _Toc1470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_Toc31812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1. 概述</w:t>
          </w:r>
          <w:r>
            <w:tab/>
          </w:r>
          <w:r>
            <w:fldChar w:fldCharType="begin"/>
          </w:r>
          <w:r>
            <w:instrText xml:space="preserve"> PAGEREF _Toc31812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_Toc23713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1.1. 1. 目的</w:t>
          </w:r>
          <w:r>
            <w:tab/>
          </w:r>
          <w:r>
            <w:fldChar w:fldCharType="begin"/>
          </w:r>
          <w:r>
            <w:instrText xml:space="preserve"> PAGEREF _Toc23713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_Toc28268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1.2. 适用范围</w:t>
          </w:r>
          <w:r>
            <w:tab/>
          </w:r>
          <w:r>
            <w:fldChar w:fldCharType="begin"/>
          </w:r>
          <w:r>
            <w:instrText xml:space="preserve"> PAGEREF _Toc28268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_Toc25690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1.3. 基本原则</w:t>
          </w:r>
          <w:r>
            <w:tab/>
          </w:r>
          <w:r>
            <w:fldChar w:fldCharType="begin"/>
          </w:r>
          <w:r>
            <w:instrText xml:space="preserve"> PAGEREF _Toc25690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_Toc29906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2. 工作交接适用情形</w:t>
          </w:r>
          <w:r>
            <w:tab/>
          </w:r>
          <w:r>
            <w:fldChar w:fldCharType="begin"/>
          </w:r>
          <w:r>
            <w:instrText xml:space="preserve"> PAGEREF _Toc29906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_Toc20500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3. 交接流程与职责</w:t>
          </w:r>
          <w:r>
            <w:tab/>
          </w:r>
          <w:r>
            <w:fldChar w:fldCharType="begin"/>
          </w:r>
          <w:r>
            <w:instrText xml:space="preserve"> PAGEREF _Toc20500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_Toc11777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3.1. 交接启动</w:t>
          </w:r>
          <w:r>
            <w:tab/>
          </w:r>
          <w:r>
            <w:fldChar w:fldCharType="begin"/>
          </w:r>
          <w:r>
            <w:instrText xml:space="preserve"> PAGEREF _Toc11777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_Toc17425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3.2. 交接三方职责</w:t>
          </w:r>
          <w:r>
            <w:tab/>
          </w:r>
          <w:r>
            <w:fldChar w:fldCharType="begin"/>
          </w:r>
          <w:r>
            <w:instrText xml:space="preserve"> PAGEREF _Toc17425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_Toc13708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3.3. 交接步骤</w:t>
          </w:r>
          <w:r>
            <w:tab/>
          </w:r>
          <w:r>
            <w:fldChar w:fldCharType="begin"/>
          </w:r>
          <w:r>
            <w:instrText xml:space="preserve"> PAGEREF _Toc13708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_Toc15497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3.4. 交接内容与要求</w:t>
          </w:r>
          <w:r>
            <w:tab/>
          </w:r>
          <w:r>
            <w:fldChar w:fldCharType="begin"/>
          </w:r>
          <w:r>
            <w:instrText xml:space="preserve"> PAGEREF _Toc15497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_Toc29171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4. 监督与责任</w:t>
          </w:r>
          <w:r>
            <w:tab/>
          </w:r>
          <w:r>
            <w:fldChar w:fldCharType="begin"/>
          </w:r>
          <w:r>
            <w:instrText xml:space="preserve"> PAGEREF _Toc29171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ascii="Arial" w:eastAsia="宋体" w:hAnsi="Arial" w:cs="Arial" w:hint="default"/>
              <w:snapToGrid w:val="0"/>
              <w:color w:val="000000"/>
              <w:kern w:val="0"/>
              <w:sz w:val="21"/>
              <w:szCs w:val="21"/>
              <w:lang w:val="en-US" w:eastAsia="zh-CN" w:bidi="ar-SA"/>
            </w:rPr>
          </w:pPr>
          <w:r>
            <w:rPr>
              <w:rFonts w:hint="default"/>
              <w:lang w:val="en-US" w:eastAsia="zh-CN"/>
            </w:rPr>
            <w:fldChar w:fldCharType="end"/>
          </w:r>
        </w:p>
      </w:sdtContent>
    </w:sdt>
    <w:p>
      <w:pPr>
        <w:rPr>
          <w:rFonts w:ascii="Arial" w:eastAsia="宋体" w:hAnsi="Arial" w:cs="Arial" w:hint="default"/>
          <w:snapToGrid w:val="0"/>
          <w:color w:val="000000"/>
          <w:kern w:val="0"/>
          <w:sz w:val="21"/>
          <w:szCs w:val="21"/>
          <w:lang w:val="en-US" w:eastAsia="zh-CN" w:bidi="ar-SA"/>
        </w:rPr>
      </w:pPr>
      <w:r>
        <w:rPr>
          <w:rFonts w:ascii="Arial" w:eastAsia="宋体" w:hAnsi="Arial" w:cs="Arial" w:hint="default"/>
          <w:snapToGrid w:val="0"/>
          <w:color w:val="000000"/>
          <w:kern w:val="0"/>
          <w:sz w:val="21"/>
          <w:szCs w:val="21"/>
          <w:lang w:val="en-US" w:eastAsia="zh-CN" w:bidi="ar-SA"/>
        </w:rPr>
        <w:br w:type="page"/>
      </w:r>
    </w:p>
    <w:p>
      <w:pPr>
        <w:pStyle w:val="1"/>
        <w:bidi w:val="0"/>
        <w:rPr>
          <w:rFonts w:hint="default"/>
          <w:lang w:val="en-US" w:eastAsia="zh-CN"/>
        </w:rPr>
      </w:pPr>
      <w:bookmarkStart w:id="5" w:name="_Toc31812"/>
      <w:r>
        <w:rPr>
          <w:rFonts w:hint="default"/>
          <w:lang w:val="en-US" w:eastAsia="zh-CN"/>
        </w:rPr>
        <w:t>概述</w:t>
      </w:r>
      <w:bookmarkEnd w:id="5"/>
    </w:p>
    <w:p>
      <w:pPr>
        <w:pStyle w:val="2"/>
        <w:bidi w:val="0"/>
        <w:rPr>
          <w:rFonts w:hint="default"/>
          <w:lang w:val="en-US" w:eastAsia="zh-CN"/>
        </w:rPr>
      </w:pPr>
      <w:bookmarkStart w:id="6" w:name="_Toc23713"/>
      <w:r>
        <w:rPr>
          <w:rFonts w:hint="default"/>
          <w:lang w:val="en-US" w:eastAsia="zh-CN"/>
        </w:rPr>
        <w:t>1. 目的</w:t>
      </w:r>
      <w:bookmarkEnd w:id="6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为规范员工岗位变动、离职或长期离岗时的工作交接程序，确保工作的连续性、完整性和稳定性，防止因人员变动造成工作延误、资料遗失或责任不清，特制定本制度。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7" w:name="_Toc28268"/>
      <w:r>
        <w:rPr>
          <w:rFonts w:hint="default"/>
          <w:lang w:val="en-US" w:eastAsia="zh-CN"/>
        </w:rPr>
        <w:t>适用范围</w:t>
      </w:r>
      <w:bookmarkEnd w:id="7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本制度适用于公司全体员工因离职、调岗、轮岗、请假（超过5个工作日）或其他原因离岗时的工作交接管理。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8" w:name="_Toc25690"/>
      <w:r>
        <w:rPr>
          <w:rFonts w:hint="default"/>
          <w:lang w:val="en-US" w:eastAsia="zh-CN"/>
        </w:rPr>
        <w:t>基本原则</w:t>
      </w:r>
      <w:bookmarkEnd w:id="8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完整性原则：交接内容应全面、系统，覆盖岗位全部职责与资料。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清晰性原则：交接过程应书面化、清单化，确保双方理解一致。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及时性原则：交接应在岗位变动前启动并完成，不得延误。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责任到人原则：交接双方及监交人应签字确认，对交接内容负责。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9" w:name="_Toc29906"/>
      <w:r>
        <w:rPr>
          <w:rFonts w:hint="default"/>
          <w:lang w:val="en-US" w:eastAsia="zh-CN"/>
        </w:rPr>
        <w:t>工作交接适用情形</w:t>
      </w:r>
      <w:bookmarkEnd w:id="9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员工离职（包括辞职、辞退、退休等）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内部调岗或轮岗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长期请假（事假、病假等超过5个工作日）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岗位职责重大调整或新增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其他经部门负责人认定需要交接的情形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10" w:name="_Toc20500"/>
      <w:r>
        <w:rPr>
          <w:rFonts w:hint="default"/>
          <w:lang w:val="en-US" w:eastAsia="zh-CN"/>
        </w:rPr>
        <w:t>交接流程与职责</w:t>
      </w:r>
      <w:bookmarkEnd w:id="10"/>
    </w:p>
    <w:p>
      <w:pPr>
        <w:pStyle w:val="2"/>
        <w:bidi w:val="0"/>
        <w:rPr>
          <w:rFonts w:hint="default"/>
          <w:lang w:val="en-US" w:eastAsia="zh-CN"/>
        </w:rPr>
      </w:pPr>
      <w:bookmarkStart w:id="11" w:name="_Toc11777"/>
      <w:r>
        <w:rPr>
          <w:rFonts w:hint="default"/>
          <w:lang w:val="en-US" w:eastAsia="zh-CN"/>
        </w:rPr>
        <w:t>交接启动</w:t>
      </w:r>
      <w:bookmarkEnd w:id="11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员工提出离职或调岗申请后，部门负责人应在3个工作日内确定交接计划，并指定交接人、接收人及监交人。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交接周期一般不超过5个工作日，特殊情况需报部门负责人批准延长。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2" w:name="_Toc17425"/>
      <w:r>
        <w:rPr>
          <w:rFonts w:hint="default"/>
          <w:lang w:val="en-US" w:eastAsia="zh-CN"/>
        </w:rPr>
        <w:t>交接三方职责</w:t>
      </w:r>
      <w:bookmarkEnd w:id="12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交接人（离岗员工）：负责整理并移交本制度第四条所列全部内容，确保真实、完整、清晰。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接收人（接岗员工）：负责接收、核验并理解交接内容，确认无误后签字。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监交人（</w:t>
      </w:r>
      <w:r>
        <w:rPr>
          <w:rFonts w:hint="eastAsia"/>
          <w:lang w:val="en-US" w:eastAsia="zh-CN"/>
        </w:rPr>
        <w:t>部门经理</w:t>
      </w:r>
      <w:r>
        <w:rPr>
          <w:rFonts w:hint="default"/>
          <w:lang w:val="en-US" w:eastAsia="zh-CN"/>
        </w:rPr>
        <w:t>）：负责监督交接过程，协调资源，审核交接清单，确保交接质量。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3" w:name="_Toc13708"/>
      <w:r>
        <w:rPr>
          <w:rFonts w:hint="default"/>
          <w:lang w:val="en-US" w:eastAsia="zh-CN"/>
        </w:rPr>
        <w:t>交接步骤</w:t>
      </w:r>
      <w:bookmarkEnd w:id="13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（1）交接人填写《工作交接清单》（见附件1），提交监交人审核。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（2）三方共同进行实物、文件、系统权限等现场交接。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（3）接收人熟悉工作内容，交接人提供必要辅导。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（4）三方签字确认，《工作交接清单》一式三份，分别留存交接人、接收人、</w:t>
      </w:r>
      <w:r>
        <w:rPr>
          <w:rFonts w:hint="eastAsia"/>
          <w:lang w:val="en-US" w:eastAsia="zh-CN"/>
        </w:rPr>
        <w:t>人力资源部</w:t>
      </w:r>
      <w:r>
        <w:rPr>
          <w:rFonts w:hint="default"/>
          <w:lang w:val="en-US" w:eastAsia="zh-CN"/>
        </w:rPr>
        <w:t>备案。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4" w:name="_Toc15497"/>
      <w:r>
        <w:rPr>
          <w:rFonts w:hint="default"/>
          <w:lang w:val="en-US" w:eastAsia="zh-CN"/>
        </w:rPr>
        <w:t>交接内容与要求</w:t>
      </w:r>
      <w:bookmarkEnd w:id="14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1. 文件资料交接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岗位相关制度、规范、操作手册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未办结文件、合同、项目资料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历史档案、报告、数据记录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电子文档目录及存储位置说明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 工作事项交接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当前重点工作进展、待办任务清单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项目状态、关键节点及责任人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日常职责、周期性工作安排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外部联系单位/人员清单及注意事项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3. 资产与权限交接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办公设备、工具、钥匙等实物资产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系统账号、密码、操作权限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财务借款、备用金、未报销单据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公司卡证、印章、授权文件等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4. 工作联络交接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内部协作部门及接口人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外部客户、供应商、合作伙伴联系表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正在进行的沟通事项及待回复内容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15" w:name="_Toc29171"/>
      <w:r>
        <w:rPr>
          <w:rFonts w:hint="default"/>
          <w:lang w:val="en-US" w:eastAsia="zh-CN"/>
        </w:rPr>
        <w:t>监督与责任</w:t>
      </w:r>
      <w:bookmarkEnd w:id="15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部门</w:t>
      </w:r>
      <w:r>
        <w:rPr>
          <w:rFonts w:hint="eastAsia"/>
          <w:lang w:val="en-US" w:eastAsia="zh-CN"/>
        </w:rPr>
        <w:t>经理</w:t>
      </w:r>
      <w:r>
        <w:rPr>
          <w:rFonts w:hint="default"/>
          <w:lang w:val="en-US" w:eastAsia="zh-CN"/>
        </w:rPr>
        <w:t>为交接第一责任人，</w:t>
      </w:r>
      <w:r>
        <w:rPr>
          <w:rFonts w:hint="eastAsia"/>
          <w:lang w:val="en-US" w:eastAsia="zh-CN"/>
        </w:rPr>
        <w:t>人力资源部</w:t>
      </w:r>
      <w:r>
        <w:rPr>
          <w:rFonts w:hint="default"/>
          <w:lang w:val="en-US" w:eastAsia="zh-CN"/>
        </w:rPr>
        <w:t>负责制度执行监督。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交接不完整或不符合要求，监交人有权要求重新交接。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因交接不清导致工作延误、资料丢失或损失，追究交接人、接收人及监交人相应责任。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未完成交接的离职员工，公司有权暂缓办理离职手续及相关结算。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  <w:style w:type="table" w:customStyle="1" w:styleId="TableNormal00">
    <w:name w:val="Table Normal_0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1237</Words>
  <Characters>1348</Characters>
  <Application>Microsoft Office Word</Application>
  <DocSecurity>0</DocSecurity>
  <Lines>0</Lines>
  <Paragraphs>0</Paragraphs>
  <ScaleCrop>false</ScaleCrop>
  <Company/>
  <LinksUpToDate>false</LinksUpToDate>
  <CharactersWithSpaces>1410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18442</dc:creator>
  <cp:lastModifiedBy>郝宇</cp:lastModifiedBy>
  <cp:revision>0</cp:revision>
  <dcterms:created xsi:type="dcterms:W3CDTF">2025-09-06T12:49:00Z</dcterms:created>
  <dcterms:modified xsi:type="dcterms:W3CDTF">2025-12-23T19:36:04Z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0D32182671224755A6D4CE835A5A6EA6_12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eyJoZGlkIjoiMDY5NmFjMmM4ZTljMGJiZDAxN2JmYTc0NGI0NmFiNDgiLCJ1c2VySWQiOiIxMDc1MzgyOSJ9</vt:lpwstr>
  </property>
</Properties>
</file>