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GoBack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备份管理方法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（HXDL-ITSS-0507）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概述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为保障公司关键岗位工作的连续性与稳定性，降低因人员离职、调岗、长期缺勤等带来的运营风险，建立科学、系统的人员备份机制，确保关键岗位随时有合格人员可接替，特制定本办法。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适用范围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本办法适用于公司所有被认定为关键岗位的人员备份管理，包括管理类、技术类及核心业务类岗位。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基本原则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前瞻性原则：备份工作应提前规划，避免岗位空缺时临时应对。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匹配性原则：备份人员的能力、经验应与目标岗位要求相匹配。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动态性原则：备份关系与培养计划应根据人员与业务变化动态调整。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保密性原则：备份安排应控制在必要知悉范围内，避免对现有团队造成不必要的波动。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备份岗位识别与分类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关键岗位定义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指对公司战略落实、业务连续、技术传承或运营安全具有重要影响，且内部替代难度较高的岗位。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识别标准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（1）管理影响：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及以上管理岗位。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（2）技术唯一：掌握核心技术、独有关键技能或特殊资质的岗位。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（3）业务瓶颈：该岗位人员缺失将直接导致项目停滞、服务中断或客户关系重大风险。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（4）培养周期：岗位胜任所需培养周期超过6个月。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岗位分类与备份级别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2610"/>
        <w:gridCol w:w="2131"/>
        <w:gridCol w:w="21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261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示例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建议备份人数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最低准备期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</w:t>
            </w:r>
          </w:p>
        </w:tc>
        <w:tc>
          <w:tcPr>
            <w:tcW w:w="261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经理、高级项目经理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1-2人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3个月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重要</w:t>
            </w:r>
          </w:p>
        </w:tc>
        <w:tc>
          <w:tcPr>
            <w:tcW w:w="261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主管、中级工程师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6个月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基础</w:t>
            </w:r>
          </w:p>
        </w:tc>
        <w:tc>
          <w:tcPr>
            <w:tcW w:w="261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初级工程师、专员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依据实际情况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12个月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备份人员选拔与确定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选拔标准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具备目标岗位所需的基本素质与潜质。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在当前岗位绩效表现良好（近一年考核良好及以上）。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有意愿且有能力向目标岗位发展。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司龄一般不低于1年（特殊人才可放宽）。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选拔流程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提名：每年第一季度，由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根据岗位备份计划，提名备份候选人，填写《关键岗位备份人员提名表》（附件1）。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评估：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组织对候选人进行综合评估（可参考《岗位技能评价管理办法》中的评估方式）。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审批：评估结果报公司高级管理层审批，最终确定备份人员名单。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沟通：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与备份人员进行正式沟通，明确备份关系与发展意向。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备份人员培养与发展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制定个人发展计划（IDP）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针对每位备份人员，由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与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共同制定《备份人员个人发展计划》（附件2），内容包括：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需提升的技能与知识清单。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具体的培养方式（如培训、导师制、轮岗、项目实践等）。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阶段性目标与检视时间点。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主要培养方式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在岗辅导：由现岗人员或上级担任导师，进行工作指导与经验传授。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跨岗轮训：安排至备份岗位进行短期实践或项目协作。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专项培训：参加与目标岗位技能相关的内外部培训课程。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授权历练：逐步授予其处理目标岗位部分核心工作的权限。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备份机制运行与管理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组织职责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：是备份管理的归口部门，负责制度建立、流程推动、资源协调与效果追踪。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：是本部门备份工作的第一责任人，负责提名、培养与日常管理。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公司高级管理层：负责审批关键岗位备份名单与重大资源投入。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动态管理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每年第一季度对备份岗位及人员进行全面审视与更新。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当出现岗位职责重大调整、人员绩效变化或业务需要时，可启动临时调整程序。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备份人员若出现绩效下滑、离职意向或发展不匹配等情况，应及时调整出备份名单并补充新人选。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激活机制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当关键岗位出现空缺时，按以下程序激活备份人员：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提出激活申请。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审核备份人员准备度。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公司高级管理层审批。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按《工作交接管理制度》完成工作交接后，备份人员正式接任。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KPI指标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2130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213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213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>
            <w:pPr>
              <w:pStyle w:val="TableText"/>
              <w:widowControl w:val="0"/>
              <w:spacing w:before="235" w:line="218" w:lineRule="auto"/>
              <w:ind w:left="133" w:leftChars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备份</w:t>
            </w:r>
            <w:r>
              <w:rPr>
                <w:spacing w:val="-3"/>
                <w:sz w:val="24"/>
                <w:szCs w:val="24"/>
              </w:rPr>
              <w:t>计划完成率</w:t>
            </w:r>
          </w:p>
        </w:tc>
        <w:tc>
          <w:tcPr>
            <w:tcW w:w="2130" w:type="dxa"/>
            <w:shd w:val="clear" w:color="auto" w:fill="auto"/>
          </w:tcPr>
          <w:p>
            <w:pPr>
              <w:pStyle w:val="TableText"/>
              <w:widowControl w:val="0"/>
              <w:spacing w:before="235" w:line="218" w:lineRule="auto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实际备份人数/计划备份人数*100%</w:t>
            </w:r>
          </w:p>
        </w:tc>
        <w:tc>
          <w:tcPr>
            <w:tcW w:w="2131" w:type="dxa"/>
            <w:shd w:val="clear" w:color="auto" w:fill="auto"/>
          </w:tcPr>
          <w:p>
            <w:pPr>
              <w:pStyle w:val="TableText"/>
              <w:widowControl w:val="0"/>
              <w:spacing w:before="235" w:line="237" w:lineRule="auto"/>
              <w:ind w:left="168" w:leftChars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0%</w:t>
            </w:r>
          </w:p>
        </w:tc>
        <w:tc>
          <w:tcPr>
            <w:tcW w:w="2131" w:type="dxa"/>
            <w:shd w:val="clear" w:color="auto" w:fill="auto"/>
          </w:tcPr>
          <w:p>
            <w:pPr>
              <w:pStyle w:val="TableText"/>
              <w:widowControl w:val="0"/>
              <w:spacing w:before="235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280C84C"/>
    <w:multiLevelType w:val="singleLevel"/>
    <w:tmpl w:val="F280C8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6D3E8C4"/>
    <w:multiLevelType w:val="singleLevel"/>
    <w:tmpl w:val="76D3E8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1439</Words>
  <Characters>1519</Characters>
  <Application>Microsoft Office Word</Application>
  <DocSecurity>0</DocSecurity>
  <Lines>0</Lines>
  <Paragraphs>0</Paragraphs>
  <ScaleCrop>false</ScaleCrop>
  <Company/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2025-12-23T19:36:05Z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