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F6F0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908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06EE4DA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3640"/>
      <w:r>
        <w:rPr>
          <w:rFonts w:hint="eastAsia"/>
          <w:lang w:val="en-US" w:eastAsia="zh-CN"/>
        </w:rPr>
        <w:t>服务级别管理过程</w:t>
      </w:r>
      <w:bookmarkEnd w:id="1"/>
    </w:p>
    <w:p w14:paraId="3E4A612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9025"/>
      <w:r>
        <w:rPr>
          <w:rFonts w:hint="eastAsia"/>
          <w:lang w:val="en-US" w:eastAsia="zh-CN"/>
        </w:rPr>
        <w:t>（HXDL-ITSS-0601）</w:t>
      </w:r>
      <w:bookmarkEnd w:id="2"/>
    </w:p>
    <w:p w14:paraId="6BC8511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FB92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1818" w:type="dxa"/>
          </w:tcPr>
          <w:p w14:paraId="0FBFBD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568531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7ACA1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2C6825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FA20D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3D2D9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5DB816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4FDE0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2B31CE0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6325A5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9038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C3CBF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45D634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0AEF8A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6B42C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3A38E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84913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6BF907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234500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51B187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36F24F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254CAB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540150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3F7AF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1862BE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21807C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548369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2DA70E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2EE0FE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015C4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6A1D10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127699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62CBCD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6E9ED5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0ED5DF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292290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59C140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32A79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ADA0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586773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06870D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3FE7AB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4CB96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26DB58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34A17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7D71B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6F99DE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79CC50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0B57E9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EC8AF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7CE74F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506E3F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64EDF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327F44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253572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490C3E01"/>
    <w:p w14:paraId="00FB7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2871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47FCD0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17C786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_Toc29082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_Toc29082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0202FF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_Toc23640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服务级别管理过程</w:t>
          </w:r>
          <w:r>
            <w:tab/>
          </w:r>
          <w:r>
            <w:fldChar w:fldCharType="begin"/>
          </w:r>
          <w:r>
            <w:instrText xml:space="preserve"> PAGEREF _Toc23640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02AF5F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（HXDL-ITSS-0601）</w:t>
          </w:r>
          <w:r>
            <w:tab/>
          </w:r>
          <w:r>
            <w:fldChar w:fldCharType="begin"/>
          </w:r>
          <w:r>
            <w:instrText xml:space="preserve"> PAGEREF _Toc29025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7B0AA7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_Toc29038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_Toc29038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BB6E35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_Toc14081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F1BBD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_Toc19334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B0363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定义和术语</w:t>
          </w:r>
          <w:r>
            <w:tab/>
          </w:r>
          <w:r>
            <w:fldChar w:fldCharType="begin"/>
          </w:r>
          <w:r>
            <w:instrText xml:space="preserve"> PAGEREF _Toc31465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F25551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服务级别协议</w:t>
          </w:r>
          <w:r>
            <w:tab/>
          </w:r>
          <w:r>
            <w:fldChar w:fldCharType="begin"/>
          </w:r>
          <w:r>
            <w:instrText xml:space="preserve"> PAGEREF _Toc4058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F83AA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服务目录</w:t>
          </w:r>
          <w:r>
            <w:tab/>
          </w:r>
          <w:r>
            <w:fldChar w:fldCharType="begin"/>
          </w:r>
          <w:r>
            <w:instrText xml:space="preserve"> PAGEREF _Toc27113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0324C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_Toc19084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42C6D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项目经理</w:t>
          </w:r>
          <w:r>
            <w:tab/>
          </w:r>
          <w:r>
            <w:fldChar w:fldCharType="begin"/>
          </w:r>
          <w:r>
            <w:instrText xml:space="preserve"> PAGEREF _Toc28639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B9BED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_Toc12066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18B1F6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流程</w:t>
          </w:r>
          <w:r>
            <w:tab/>
          </w:r>
          <w:r>
            <w:fldChar w:fldCharType="begin"/>
          </w:r>
          <w:r>
            <w:instrText xml:space="preserve"> PAGEREF _Toc5337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BCCC7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计划</w:t>
          </w:r>
          <w:r>
            <w:tab/>
          </w:r>
          <w:r>
            <w:fldChar w:fldCharType="begin"/>
          </w:r>
          <w:r>
            <w:instrText xml:space="preserve"> PAGEREF _Toc9633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2E573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5.1.1. 识别需求</w:t>
          </w:r>
          <w:r>
            <w:tab/>
          </w:r>
          <w:r>
            <w:fldChar w:fldCharType="begin"/>
          </w:r>
          <w:r>
            <w:instrText xml:space="preserve"> PAGEREF _Toc26671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6717E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5.1.2. 定义服务</w:t>
          </w:r>
          <w:r>
            <w:tab/>
          </w:r>
          <w:r>
            <w:fldChar w:fldCharType="begin"/>
          </w:r>
          <w:r>
            <w:instrText xml:space="preserve"> PAGEREF _Toc20939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42CD0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实施</w:t>
          </w:r>
          <w:r>
            <w:tab/>
          </w:r>
          <w:r>
            <w:fldChar w:fldCharType="begin"/>
          </w:r>
          <w:r>
            <w:instrText xml:space="preserve"> PAGEREF _Toc4436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B8839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建立服务目录</w:t>
          </w:r>
          <w:r>
            <w:tab/>
          </w:r>
          <w:r>
            <w:fldChar w:fldCharType="begin"/>
          </w:r>
          <w:r>
            <w:instrText xml:space="preserve"> PAGEREF _Toc27920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D45D5A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服务级别协议</w:t>
          </w:r>
          <w:r>
            <w:tab/>
          </w:r>
          <w:r>
            <w:fldChar w:fldCharType="begin"/>
          </w:r>
          <w:r>
            <w:instrText xml:space="preserve"> PAGEREF _Toc7298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3867B4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签署或确认服务级别协议</w:t>
          </w:r>
          <w:r>
            <w:tab/>
          </w:r>
          <w:r>
            <w:fldChar w:fldCharType="begin"/>
          </w:r>
          <w:r>
            <w:instrText xml:space="preserve"> PAGEREF _Toc20779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87E5DB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检查</w:t>
          </w:r>
          <w:r>
            <w:tab/>
          </w:r>
          <w:r>
            <w:fldChar w:fldCharType="begin"/>
          </w:r>
          <w:r>
            <w:instrText xml:space="preserve"> PAGEREF _Toc2406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BD999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5.3.1. 监控</w:t>
          </w:r>
          <w:r>
            <w:tab/>
          </w:r>
          <w:r>
            <w:fldChar w:fldCharType="begin"/>
          </w:r>
          <w:r>
            <w:instrText xml:space="preserve"> PAGEREF _Toc16515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DCA049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5.3.2. 报告</w:t>
          </w:r>
          <w:r>
            <w:tab/>
          </w:r>
          <w:r>
            <w:fldChar w:fldCharType="begin"/>
          </w:r>
          <w:r>
            <w:instrText xml:space="preserve"> PAGEREF _Toc5231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405FF0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改进</w:t>
          </w:r>
          <w:r>
            <w:tab/>
          </w:r>
          <w:r>
            <w:fldChar w:fldCharType="begin"/>
          </w:r>
          <w:r>
            <w:instrText xml:space="preserve"> PAGEREF _Toc8910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1E99EA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5.4.1. 维护协议及合同</w:t>
          </w:r>
          <w:r>
            <w:tab/>
          </w:r>
          <w:r>
            <w:fldChar w:fldCharType="begin"/>
          </w:r>
          <w:r>
            <w:instrText xml:space="preserve"> PAGEREF _Toc14204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EF790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5.4.2. 服务改进计划</w:t>
          </w:r>
          <w:r>
            <w:tab/>
          </w:r>
          <w:r>
            <w:fldChar w:fldCharType="begin"/>
          </w:r>
          <w:r>
            <w:instrText xml:space="preserve"> PAGEREF _Toc24450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0A553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5.4.3. 变更服务级别协议</w:t>
          </w:r>
          <w:r>
            <w:tab/>
          </w:r>
          <w:r>
            <w:fldChar w:fldCharType="begin"/>
          </w:r>
          <w:r>
            <w:instrText xml:space="preserve"> PAGEREF _Toc1263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7BBAD9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服务级别协议与其他流程的关系</w:t>
          </w:r>
          <w:r>
            <w:tab/>
          </w:r>
          <w:r>
            <w:fldChar w:fldCharType="begin"/>
          </w:r>
          <w:r>
            <w:instrText xml:space="preserve"> PAGEREF _Toc3353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F1F5D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_Toc22649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3AAB60A">
          <w:r>
            <w:fldChar w:fldCharType="end"/>
          </w:r>
        </w:p>
      </w:sdtContent>
    </w:sdt>
    <w:p w14:paraId="10DE3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E1E4DA5">
      <w:pPr>
        <w:pStyle w:val="28"/>
        <w:bidi w:val="0"/>
        <w:rPr>
          <w:rFonts w:hint="default"/>
          <w:lang w:val="en-US" w:eastAsia="zh-CN"/>
        </w:rPr>
      </w:pPr>
      <w:bookmarkStart w:id="4" w:name="_Toc14081"/>
      <w:r>
        <w:rPr>
          <w:rFonts w:hint="default"/>
          <w:lang w:val="en-US" w:eastAsia="zh-CN"/>
        </w:rPr>
        <w:t>目的</w:t>
      </w:r>
      <w:bookmarkEnd w:id="4"/>
    </w:p>
    <w:p w14:paraId="1F2D00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本程序致力于在服务质量的供应与需求、客户关系和IT服务成本之间找到平衡点，确保以最合适的成本提供符合要求的服务，建立并改善客户关系。</w:t>
      </w:r>
    </w:p>
    <w:p w14:paraId="5B515904">
      <w:pPr>
        <w:pStyle w:val="28"/>
        <w:bidi w:val="0"/>
        <w:rPr>
          <w:rFonts w:hint="default"/>
          <w:lang w:val="en-US" w:eastAsia="zh-CN"/>
        </w:rPr>
      </w:pPr>
      <w:bookmarkStart w:id="5" w:name="_Toc19334"/>
      <w:r>
        <w:rPr>
          <w:rFonts w:hint="default"/>
          <w:lang w:val="en-US" w:eastAsia="zh-CN"/>
        </w:rPr>
        <w:t>范围</w:t>
      </w:r>
      <w:bookmarkEnd w:id="5"/>
    </w:p>
    <w:p w14:paraId="2F6D2B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用于本公司服务类项目的谈判、定义、评价、管理以及以可接受的成本改进IT服务的质量。</w:t>
      </w:r>
    </w:p>
    <w:p w14:paraId="3DED257A">
      <w:pPr>
        <w:pStyle w:val="28"/>
        <w:bidi w:val="0"/>
        <w:rPr>
          <w:rFonts w:hint="default"/>
          <w:lang w:val="en-US" w:eastAsia="zh-CN"/>
        </w:rPr>
      </w:pPr>
      <w:bookmarkStart w:id="6" w:name="_Toc31465"/>
      <w:r>
        <w:rPr>
          <w:rFonts w:hint="default"/>
          <w:lang w:val="en-US" w:eastAsia="zh-CN"/>
        </w:rPr>
        <w:t>定义和术语</w:t>
      </w:r>
      <w:bookmarkEnd w:id="6"/>
    </w:p>
    <w:p w14:paraId="214247B0">
      <w:pPr>
        <w:pStyle w:val="30"/>
        <w:bidi w:val="0"/>
        <w:rPr>
          <w:rFonts w:hint="default"/>
          <w:lang w:val="en-US" w:eastAsia="zh-CN"/>
        </w:rPr>
      </w:pPr>
      <w:bookmarkStart w:id="7" w:name="_Toc4058"/>
      <w:r>
        <w:rPr>
          <w:rFonts w:hint="default"/>
          <w:lang w:val="en-US" w:eastAsia="zh-CN"/>
        </w:rPr>
        <w:t>服务级别协议</w:t>
      </w:r>
      <w:bookmarkEnd w:id="7"/>
    </w:p>
    <w:p w14:paraId="1D2CAD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服务提供方与顾客之间明确服务和服务目标形成文件的协议。协议主要明确服务将要提供的服务内容、对应服务的关键级别指标及与客户双方间的义务与责任等。</w:t>
      </w:r>
    </w:p>
    <w:p w14:paraId="732E2080">
      <w:pPr>
        <w:pStyle w:val="30"/>
        <w:bidi w:val="0"/>
        <w:rPr>
          <w:rFonts w:hint="default"/>
          <w:lang w:val="en-US" w:eastAsia="zh-CN"/>
        </w:rPr>
      </w:pPr>
      <w:bookmarkStart w:id="8" w:name="_Toc27113"/>
      <w:r>
        <w:rPr>
          <w:rFonts w:hint="default"/>
          <w:lang w:val="en-US" w:eastAsia="zh-CN"/>
        </w:rPr>
        <w:t>服务目录</w:t>
      </w:r>
      <w:bookmarkEnd w:id="8"/>
    </w:p>
    <w:p w14:paraId="3ABC87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根据公司现业务类型，按照客户的语言对服务项目所作的详细约定，包括提供服务的对象和服务内容。</w:t>
      </w:r>
    </w:p>
    <w:p w14:paraId="5655A75C">
      <w:pPr>
        <w:pStyle w:val="28"/>
        <w:bidi w:val="0"/>
        <w:rPr>
          <w:rFonts w:hint="default"/>
          <w:lang w:val="en-US" w:eastAsia="zh-CN"/>
        </w:rPr>
      </w:pPr>
      <w:bookmarkStart w:id="9" w:name="_Toc19084"/>
      <w:r>
        <w:rPr>
          <w:rFonts w:hint="default"/>
          <w:lang w:val="en-US" w:eastAsia="zh-CN"/>
        </w:rPr>
        <w:t>职责分工</w:t>
      </w:r>
      <w:bookmarkEnd w:id="9"/>
    </w:p>
    <w:p w14:paraId="575B1108">
      <w:pPr>
        <w:pStyle w:val="30"/>
        <w:bidi w:val="0"/>
        <w:rPr>
          <w:rFonts w:hint="default"/>
          <w:lang w:val="en-US" w:eastAsia="zh-CN"/>
        </w:rPr>
      </w:pPr>
      <w:bookmarkStart w:id="10" w:name="_Toc28639"/>
      <w:r>
        <w:rPr>
          <w:rFonts w:hint="default"/>
          <w:lang w:val="en-US" w:eastAsia="zh-CN"/>
        </w:rPr>
        <w:t>项目经理</w:t>
      </w:r>
      <w:bookmarkEnd w:id="10"/>
    </w:p>
    <w:p w14:paraId="6CF4D6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负责项目服务期间服务级别的监控、报告分析和持续改进。</w:t>
      </w:r>
    </w:p>
    <w:p w14:paraId="78A08C7B">
      <w:pPr>
        <w:pStyle w:val="30"/>
        <w:bidi w:val="0"/>
        <w:rPr>
          <w:rFonts w:hint="eastAsia"/>
          <w:lang w:val="en-US" w:eastAsia="zh-CN"/>
        </w:rPr>
      </w:pPr>
      <w:bookmarkStart w:id="11" w:name="_Toc12066"/>
      <w:r>
        <w:rPr>
          <w:rFonts w:hint="eastAsia"/>
          <w:lang w:val="en-US" w:eastAsia="zh-CN"/>
        </w:rPr>
        <w:t>运维部经理</w:t>
      </w:r>
      <w:bookmarkEnd w:id="11"/>
    </w:p>
    <w:p w14:paraId="633FB519">
      <w:pPr>
        <w:pStyle w:val="29"/>
        <w:bidi w:val="0"/>
      </w:pPr>
      <w:r>
        <w:t>评审《运维服务目录》，确保服务内容明确、可交付。</w:t>
      </w:r>
    </w:p>
    <w:p w14:paraId="22D2BA54">
      <w:pPr>
        <w:pStyle w:val="29"/>
        <w:bidi w:val="0"/>
        <w:rPr>
          <w:rFonts w:hint="eastAsia"/>
          <w:lang w:val="en-US" w:eastAsia="zh-CN"/>
        </w:rPr>
      </w:pPr>
      <w:r>
        <w:t>确认公司现有运维能力是否支持服务目录中的</w:t>
      </w:r>
      <w:r>
        <w:rPr>
          <w:rFonts w:hint="eastAsia"/>
          <w:lang w:val="en-US" w:eastAsia="zh-CN"/>
        </w:rPr>
        <w:t>内容</w:t>
      </w:r>
    </w:p>
    <w:p w14:paraId="752FD5DB">
      <w:pPr>
        <w:pStyle w:val="28"/>
        <w:bidi w:val="0"/>
        <w:rPr>
          <w:rFonts w:hint="default"/>
          <w:lang w:val="en-US" w:eastAsia="zh-CN"/>
        </w:rPr>
      </w:pPr>
      <w:bookmarkStart w:id="12" w:name="_Toc5337"/>
      <w:r>
        <w:rPr>
          <w:rFonts w:hint="default"/>
          <w:lang w:val="en-US" w:eastAsia="zh-CN"/>
        </w:rPr>
        <w:t>流程</w:t>
      </w:r>
      <w:bookmarkEnd w:id="12"/>
    </w:p>
    <w:p w14:paraId="66B108BF">
      <w:pPr>
        <w:pStyle w:val="30"/>
        <w:bidi w:val="0"/>
        <w:rPr>
          <w:rFonts w:hint="default"/>
          <w:lang w:val="en-US" w:eastAsia="zh-CN"/>
        </w:rPr>
      </w:pPr>
      <w:bookmarkStart w:id="13" w:name="_Toc9633"/>
      <w:r>
        <w:rPr>
          <w:rFonts w:hint="default"/>
          <w:lang w:val="en-US" w:eastAsia="zh-CN"/>
        </w:rPr>
        <w:t>计划</w:t>
      </w:r>
      <w:bookmarkEnd w:id="13"/>
    </w:p>
    <w:p w14:paraId="2A70E630">
      <w:pPr>
        <w:pStyle w:val="31"/>
        <w:bidi w:val="0"/>
        <w:rPr>
          <w:rFonts w:hint="default"/>
          <w:lang w:val="en-US" w:eastAsia="zh-CN"/>
        </w:rPr>
      </w:pPr>
      <w:bookmarkStart w:id="14" w:name="_Toc26671"/>
      <w:r>
        <w:rPr>
          <w:rFonts w:hint="default"/>
          <w:lang w:val="en-US" w:eastAsia="zh-CN"/>
        </w:rPr>
        <w:t>识别需求</w:t>
      </w:r>
      <w:bookmarkEnd w:id="14"/>
    </w:p>
    <w:p w14:paraId="22B2DE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项目经理对客户签署的服务合同、需求说明书等内容进行分析、设计与监控，确定客户服务的需求。</w:t>
      </w:r>
    </w:p>
    <w:p w14:paraId="089AB9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主要工作包括：</w:t>
      </w:r>
    </w:p>
    <w:p w14:paraId="04B514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了解用户对服务的期望；</w:t>
      </w:r>
    </w:p>
    <w:p w14:paraId="2C558F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服务必须处于可用状态的时间和天数；</w:t>
      </w:r>
    </w:p>
    <w:p w14:paraId="13AEBC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服务持续性需求；</w:t>
      </w:r>
    </w:p>
    <w:p w14:paraId="0AA17A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提供客户服务所需要的职能部门；</w:t>
      </w:r>
    </w:p>
    <w:p w14:paraId="186417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在定义服务时需要考虑的当前服务方法或质量标准的参考基准；</w:t>
      </w:r>
    </w:p>
    <w:p w14:paraId="47B264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内部对服务及其需要的组件的详细描述；</w:t>
      </w:r>
    </w:p>
    <w:p w14:paraId="48E8DB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关于服务被实施和提供的方式的说明；</w:t>
      </w:r>
    </w:p>
    <w:p w14:paraId="3C0E7E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关于必要的质量控制程序的说明；</w:t>
      </w:r>
    </w:p>
    <w:p w14:paraId="22FE48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定义服务级别的标准：可用性小时数、故障数量、故障频率、故障持续时间、响应时间、周转时间。</w:t>
      </w:r>
    </w:p>
    <w:p w14:paraId="5B8F66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了解并收集客户的需求和期望，结合历史业务需求情况以及现有业务系统的运维和服务特点，明确最终的客户服务级别需求。</w:t>
      </w:r>
    </w:p>
    <w:p w14:paraId="4F6D8CD8">
      <w:pPr>
        <w:pStyle w:val="31"/>
        <w:bidi w:val="0"/>
        <w:rPr>
          <w:rFonts w:hint="default"/>
          <w:lang w:val="en-US" w:eastAsia="zh-CN"/>
        </w:rPr>
      </w:pPr>
      <w:bookmarkStart w:id="15" w:name="_Toc20939"/>
      <w:r>
        <w:rPr>
          <w:rFonts w:hint="default"/>
          <w:lang w:val="en-US" w:eastAsia="zh-CN"/>
        </w:rPr>
        <w:t>定义服务</w:t>
      </w:r>
      <w:bookmarkEnd w:id="15"/>
    </w:p>
    <w:p w14:paraId="6BAA7A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项目经理需要针对服务项目，编制服务目录，确认服务目录在组织级服务目录能力范围之内，明确服务的项目以及详细的服务内容。</w:t>
      </w:r>
    </w:p>
    <w:p w14:paraId="2EF61C0B">
      <w:pPr>
        <w:pStyle w:val="30"/>
        <w:bidi w:val="0"/>
        <w:rPr>
          <w:rFonts w:hint="default"/>
          <w:lang w:val="en-US" w:eastAsia="zh-CN"/>
        </w:rPr>
      </w:pPr>
      <w:bookmarkStart w:id="16" w:name="_Toc4436"/>
      <w:r>
        <w:rPr>
          <w:rFonts w:hint="default"/>
          <w:lang w:val="en-US" w:eastAsia="zh-CN"/>
        </w:rPr>
        <w:t>实施</w:t>
      </w:r>
      <w:bookmarkEnd w:id="16"/>
    </w:p>
    <w:p w14:paraId="61780E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发布服务目录，签署或确认服务级别协议或者服务合同。</w:t>
      </w:r>
    </w:p>
    <w:p w14:paraId="2111E629">
      <w:pPr>
        <w:pStyle w:val="31"/>
        <w:bidi w:val="0"/>
        <w:rPr>
          <w:rFonts w:hint="default"/>
          <w:lang w:val="en-US" w:eastAsia="zh-CN"/>
        </w:rPr>
      </w:pPr>
      <w:bookmarkStart w:id="17" w:name="_Toc27920"/>
      <w:r>
        <w:rPr>
          <w:rFonts w:hint="default"/>
          <w:lang w:val="en-US" w:eastAsia="zh-CN"/>
        </w:rPr>
        <w:t>建立服务目录</w:t>
      </w:r>
      <w:bookmarkEnd w:id="17"/>
    </w:p>
    <w:p w14:paraId="379C45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是按照客户的语言习惯对日常服务项目所做的详细介绍，以及有关服务级别的简单概要。服务目录是一种重要的沟通工具，它有助于引导客户的期望，为理解提供给用户的服务内容及其组件、特点等情况提供了一个很好的基础。服务目录面向全员发布，在发布前与业务部门的关键用户进行充分讨论。</w:t>
      </w:r>
    </w:p>
    <w:p w14:paraId="546F5B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根据公司现有业务需求以及IT运维和服务的状况，多方了解用户的需求，组织各部门经过多次沟通，共同拟制或确定《运维服务目录》，经批准后执行。具体的服务目录管理流程参见《运维服务目录管理制度》。</w:t>
      </w:r>
    </w:p>
    <w:p w14:paraId="5522AC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服务目录应包含公司现有的、可提供的全部服务内容，并存档。具体参见《运维服务目录》。</w:t>
      </w:r>
    </w:p>
    <w:p w14:paraId="2F2D37BF">
      <w:pPr>
        <w:pStyle w:val="31"/>
        <w:bidi w:val="0"/>
        <w:rPr>
          <w:rFonts w:hint="default"/>
          <w:lang w:val="en-US" w:eastAsia="zh-CN"/>
        </w:rPr>
      </w:pPr>
      <w:bookmarkStart w:id="18" w:name="_Toc7298"/>
      <w:r>
        <w:rPr>
          <w:rFonts w:hint="default"/>
          <w:lang w:val="en-US" w:eastAsia="zh-CN"/>
        </w:rPr>
        <w:t>服务级别协议</w:t>
      </w:r>
      <w:bookmarkEnd w:id="18"/>
    </w:p>
    <w:p w14:paraId="4817B9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在服务目录和服务级别需求的基础上，召开服务级别评审会议，根据当前提供服务的内容，归类、定义或重新定义客户对服务的期望，同时应考虑到如下因素：</w:t>
      </w:r>
    </w:p>
    <w:p w14:paraId="778184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当前供应商的合作能力、合同实施的状况、潜在的风险或约束等进行分析，提出合理化措施；</w:t>
      </w:r>
    </w:p>
    <w:p w14:paraId="723130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级别协议下，所需要的专业技术、服务人员资质、技能、储备和培训等方面的要求，根据法律法规、标准等的要求，提出关于质量控制和改进方面的要求所涉及到的预算、成本、费用等方面的财务分析，考虑到公司财务管理以及IT服务预算的相关要求；</w:t>
      </w:r>
    </w:p>
    <w:p w14:paraId="54462F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服务的可用性和持续性需求；</w:t>
      </w:r>
    </w:p>
    <w:p w14:paraId="037D59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交付服务可能面临的风险（包括财务、政策、专利、质量、风险成本、供应商等方面）。</w:t>
      </w:r>
    </w:p>
    <w:p w14:paraId="185AC9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在协议规定的服务期内，与业务部门共同确认的服务级别协议可以作为评价和调整有关IT服务水平的一个标准。</w:t>
      </w:r>
    </w:p>
    <w:p w14:paraId="4FFA0195">
      <w:pPr>
        <w:pStyle w:val="31"/>
        <w:bidi w:val="0"/>
        <w:rPr>
          <w:rFonts w:hint="default"/>
          <w:lang w:val="en-US" w:eastAsia="zh-CN"/>
        </w:rPr>
      </w:pPr>
      <w:bookmarkStart w:id="19" w:name="_Toc20779"/>
      <w:r>
        <w:rPr>
          <w:rFonts w:hint="default"/>
          <w:lang w:val="en-US" w:eastAsia="zh-CN"/>
        </w:rPr>
        <w:t>签署或确认服务级别协议</w:t>
      </w:r>
      <w:bookmarkEnd w:id="19"/>
    </w:p>
    <w:p w14:paraId="02AD03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作为IT服务提供商，按照与用户达成的服务内容与服务级别，签署或者共同确认服务级别协议。服务级别协议是针对给客户所提供的服务项目所签订的协议。</w:t>
      </w:r>
    </w:p>
    <w:p w14:paraId="5C14E1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提交服务的范围、名称、角色及定义；</w:t>
      </w:r>
    </w:p>
    <w:p w14:paraId="41112D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服务的可用性指标或质量标准；</w:t>
      </w:r>
    </w:p>
    <w:p w14:paraId="5BFD99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服务中断、恢复及响应的水平；</w:t>
      </w:r>
    </w:p>
    <w:p w14:paraId="6CBE32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服务报告的内容、报告周期；</w:t>
      </w:r>
    </w:p>
    <w:p w14:paraId="708B47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双方的职责与义务；</w:t>
      </w:r>
    </w:p>
    <w:p w14:paraId="42CFCB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对潜在的风险的定义和应对措施；</w:t>
      </w:r>
    </w:p>
    <w:p w14:paraId="009AB0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指定的服务接口。</w:t>
      </w:r>
    </w:p>
    <w:p w14:paraId="00111364">
      <w:pPr>
        <w:pStyle w:val="30"/>
        <w:bidi w:val="0"/>
        <w:rPr>
          <w:rFonts w:hint="default"/>
          <w:lang w:val="en-US" w:eastAsia="zh-CN"/>
        </w:rPr>
      </w:pPr>
      <w:bookmarkStart w:id="20" w:name="_Toc2406"/>
      <w:r>
        <w:rPr>
          <w:rFonts w:hint="default"/>
          <w:lang w:val="en-US" w:eastAsia="zh-CN"/>
        </w:rPr>
        <w:t>检查</w:t>
      </w:r>
      <w:bookmarkEnd w:id="20"/>
    </w:p>
    <w:p w14:paraId="5E5659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向客户提供的IT服务开始交付运行后，应定期收集所提供的IT服务状态数据，包括业务系统运行状况、问题趋势，变更、发布的绩效等。汇总、分析实现要求的程度、趋势。</w:t>
      </w:r>
    </w:p>
    <w:p w14:paraId="5EC6D13C">
      <w:pPr>
        <w:pStyle w:val="31"/>
        <w:bidi w:val="0"/>
        <w:rPr>
          <w:rFonts w:hint="default"/>
          <w:lang w:val="en-US" w:eastAsia="zh-CN"/>
        </w:rPr>
      </w:pPr>
      <w:bookmarkStart w:id="21" w:name="_Toc16515"/>
      <w:r>
        <w:rPr>
          <w:rFonts w:hint="default"/>
          <w:lang w:val="en-US" w:eastAsia="zh-CN"/>
        </w:rPr>
        <w:t>监控</w:t>
      </w:r>
      <w:bookmarkEnd w:id="21"/>
    </w:p>
    <w:p w14:paraId="100F24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受理用户及工程师上报的突发事件和服务请求，记录到工单系统，并根据情况进行一次性解决或升级处理；</w:t>
      </w:r>
    </w:p>
    <w:p w14:paraId="70E118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运维工程师通过巡检发现问题，并根据影响概况、影响服务内容详情、影响范围，以及优先级，进行解决或升级处理，防止或减少故障的发生。</w:t>
      </w:r>
    </w:p>
    <w:p w14:paraId="1C07E20D">
      <w:pPr>
        <w:pStyle w:val="31"/>
        <w:bidi w:val="0"/>
        <w:rPr>
          <w:rFonts w:hint="default"/>
          <w:lang w:val="en-US" w:eastAsia="zh-CN"/>
        </w:rPr>
      </w:pPr>
      <w:bookmarkStart w:id="22" w:name="_Toc5231"/>
      <w:r>
        <w:rPr>
          <w:rFonts w:hint="default"/>
          <w:lang w:val="en-US" w:eastAsia="zh-CN"/>
        </w:rPr>
        <w:t>报告</w:t>
      </w:r>
      <w:bookmarkEnd w:id="22"/>
    </w:p>
    <w:p w14:paraId="540D60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运维相关人员</w:t>
      </w:r>
      <w:r>
        <w:rPr>
          <w:rFonts w:hint="default"/>
          <w:lang w:val="en-US" w:eastAsia="zh-CN"/>
        </w:rPr>
        <w:t>应按照服务级别中约定的频率向客户提供服务报告。</w:t>
      </w:r>
    </w:p>
    <w:p w14:paraId="1C04FF71">
      <w:pPr>
        <w:pStyle w:val="30"/>
        <w:bidi w:val="0"/>
        <w:rPr>
          <w:rFonts w:hint="default"/>
          <w:lang w:val="en-US" w:eastAsia="zh-CN"/>
        </w:rPr>
      </w:pPr>
      <w:bookmarkStart w:id="23" w:name="_Toc8910"/>
      <w:r>
        <w:rPr>
          <w:rFonts w:hint="default"/>
          <w:lang w:val="en-US" w:eastAsia="zh-CN"/>
        </w:rPr>
        <w:t>改进</w:t>
      </w:r>
      <w:bookmarkEnd w:id="23"/>
    </w:p>
    <w:p w14:paraId="3BE4D864">
      <w:pPr>
        <w:pStyle w:val="31"/>
        <w:bidi w:val="0"/>
        <w:rPr>
          <w:rFonts w:hint="default"/>
          <w:lang w:val="en-US" w:eastAsia="zh-CN"/>
        </w:rPr>
      </w:pPr>
      <w:bookmarkStart w:id="24" w:name="_Toc14204"/>
      <w:r>
        <w:rPr>
          <w:rFonts w:hint="default"/>
          <w:lang w:val="en-US" w:eastAsia="zh-CN"/>
        </w:rPr>
        <w:t>维护协议及合同</w:t>
      </w:r>
      <w:bookmarkEnd w:id="24"/>
    </w:p>
    <w:p w14:paraId="46E12B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定期协商，签署或确认服务级别协议，发布服务目录，以满足用户的需求。</w:t>
      </w:r>
    </w:p>
    <w:p w14:paraId="7D45C7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协议和目录变更通过变更流程来流程控制。</w:t>
      </w:r>
    </w:p>
    <w:p w14:paraId="54B4AD95">
      <w:pPr>
        <w:pStyle w:val="31"/>
        <w:bidi w:val="0"/>
        <w:rPr>
          <w:rFonts w:hint="default"/>
          <w:lang w:val="en-US" w:eastAsia="zh-CN"/>
        </w:rPr>
      </w:pPr>
      <w:bookmarkStart w:id="25" w:name="_Toc24450"/>
      <w:r>
        <w:rPr>
          <w:rFonts w:hint="default"/>
          <w:lang w:val="en-US" w:eastAsia="zh-CN"/>
        </w:rPr>
        <w:t>服务改进计划</w:t>
      </w:r>
      <w:bookmarkEnd w:id="25"/>
    </w:p>
    <w:p w14:paraId="6A57EC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重视客户调查结果，并用于服务改进计划之中，改进客户关系。</w:t>
      </w:r>
    </w:p>
    <w:p w14:paraId="0F7D00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GoBack"/>
      <w:bookmarkEnd w:id="29"/>
      <w:r>
        <w:rPr>
          <w:rFonts w:hint="default"/>
          <w:lang w:val="en-US" w:eastAsia="zh-CN"/>
        </w:rPr>
        <w:t>定期沟通服务水平，计划和落实服务改进的内容。</w:t>
      </w:r>
    </w:p>
    <w:p w14:paraId="2D97B6EA">
      <w:pPr>
        <w:pStyle w:val="31"/>
        <w:bidi w:val="0"/>
        <w:rPr>
          <w:rFonts w:hint="default"/>
          <w:lang w:val="en-US" w:eastAsia="zh-CN"/>
        </w:rPr>
      </w:pPr>
      <w:bookmarkStart w:id="26" w:name="_Toc1263"/>
      <w:r>
        <w:rPr>
          <w:rFonts w:hint="default"/>
          <w:lang w:val="en-US" w:eastAsia="zh-CN"/>
        </w:rPr>
        <w:t>变更服务级别协议</w:t>
      </w:r>
      <w:bookmarkEnd w:id="26"/>
    </w:p>
    <w:p w14:paraId="77E8AC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当客户需求出现新增、变更并与已签署的服务级别协议不符时，应及时收集、反馈相关信息；</w:t>
      </w:r>
    </w:p>
    <w:p w14:paraId="024D4C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根据新增或变更服务的要求，拟制或修订相应的新服务规划方案；</w:t>
      </w:r>
    </w:p>
    <w:p w14:paraId="233903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对需要修订服务级别协议的客户需求，按变更管理流程的要求处理；</w:t>
      </w:r>
    </w:p>
    <w:p w14:paraId="69752A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对新增的服务级别需求，按服务级别管理流程的要求处理。</w:t>
      </w:r>
    </w:p>
    <w:p w14:paraId="71D933D5">
      <w:pPr>
        <w:pStyle w:val="28"/>
        <w:bidi w:val="0"/>
        <w:rPr>
          <w:rFonts w:hint="default"/>
          <w:lang w:val="en-US" w:eastAsia="zh-CN"/>
        </w:rPr>
      </w:pPr>
      <w:bookmarkStart w:id="27" w:name="_Toc3353"/>
      <w:r>
        <w:rPr>
          <w:rFonts w:hint="default"/>
          <w:lang w:val="en-US" w:eastAsia="zh-CN"/>
        </w:rPr>
        <w:t>服务级别协议与其他流程的关系</w:t>
      </w:r>
      <w:bookmarkEnd w:id="27"/>
    </w:p>
    <w:p w14:paraId="24BFDE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IT服务管理的其他流程都是依据服务级别管理的要求来开展的，服务级别管理是IT服务管理的关键所在。</w:t>
      </w:r>
    </w:p>
    <w:p w14:paraId="500668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6690" cy="279336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65B7">
      <w:pPr>
        <w:pStyle w:val="28"/>
        <w:bidi w:val="0"/>
        <w:rPr>
          <w:rFonts w:hint="default"/>
          <w:lang w:val="en-US" w:eastAsia="zh-CN"/>
        </w:rPr>
      </w:pPr>
      <w:bookmarkStart w:id="28" w:name="_Toc22649"/>
      <w:r>
        <w:rPr>
          <w:rFonts w:hint="eastAsia"/>
          <w:lang w:val="en-US" w:eastAsia="zh-CN"/>
        </w:rPr>
        <w:t>KPI指标</w:t>
      </w:r>
      <w:bookmarkEnd w:id="28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4277"/>
        <w:gridCol w:w="1234"/>
        <w:gridCol w:w="1592"/>
      </w:tblGrid>
      <w:tr w14:paraId="09AE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05A387A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4277" w:type="dxa"/>
          </w:tcPr>
          <w:p w14:paraId="7FEFE992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234" w:type="dxa"/>
          </w:tcPr>
          <w:p w14:paraId="33439C1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1592" w:type="dxa"/>
          </w:tcPr>
          <w:p w14:paraId="60FC603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考核周期</w:t>
            </w:r>
          </w:p>
        </w:tc>
      </w:tr>
      <w:tr w14:paraId="33D7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shd w:val="clear" w:color="auto" w:fill="auto"/>
          </w:tcPr>
          <w:p w14:paraId="074A7087">
            <w:pPr>
              <w:pStyle w:val="27"/>
              <w:widowControl w:val="0"/>
              <w:spacing w:before="235" w:line="219" w:lineRule="auto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4277" w:type="dxa"/>
            <w:shd w:val="clear" w:color="auto" w:fill="auto"/>
          </w:tcPr>
          <w:p w14:paraId="4370D303">
            <w:pPr>
              <w:pStyle w:val="27"/>
              <w:widowControl w:val="0"/>
              <w:spacing w:before="78" w:line="237" w:lineRule="auto"/>
              <w:ind w:left="117" w:leftChars="0" w:right="234" w:rightChars="0" w:firstLine="21" w:firstLine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4"/>
                <w:sz w:val="24"/>
                <w:szCs w:val="24"/>
              </w:rPr>
              <w:t>∑运维服务项目SLA达成率/运维服务项目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1234" w:type="dxa"/>
            <w:shd w:val="clear" w:color="auto" w:fill="auto"/>
          </w:tcPr>
          <w:p w14:paraId="424BCF03">
            <w:pPr>
              <w:pStyle w:val="27"/>
              <w:widowControl w:val="0"/>
              <w:spacing w:before="235" w:line="237" w:lineRule="auto"/>
              <w:ind w:left="168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1592" w:type="dxa"/>
            <w:shd w:val="clear" w:color="auto" w:fill="auto"/>
          </w:tcPr>
          <w:p w14:paraId="4966A8AF">
            <w:pPr>
              <w:pStyle w:val="27"/>
              <w:widowControl w:val="0"/>
              <w:spacing w:before="235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</w:tbl>
    <w:p w14:paraId="02FD6756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516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2378</Words>
  <Characters>2563</Characters>
  <Lines>0</Lines>
  <Paragraphs>0</Paragraphs>
  <TotalTime>1</TotalTime>
  <ScaleCrop>false</ScaleCrop>
  <LinksUpToDate>false</LinksUpToDate>
  <CharactersWithSpaces>2675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2026-02-17T13:08:12Z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