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EC916">
      <w:pPr>
        <w:pStyle w:val="41"/>
        <w:bidi w:val="0"/>
        <w:rPr>
          <w:rFonts w:hint="default"/>
          <w:lang w:val="en-US" w:eastAsia="zh-CN"/>
        </w:rPr>
      </w:pPr>
      <w:bookmarkStart w:id="0" w:name="heading_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14E9F6FF">
      <w:pPr>
        <w:pStyle w:val="4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服务可用性和连续性管理程序</w:t>
      </w:r>
    </w:p>
    <w:p w14:paraId="0E8D7153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（HXDL-ITSS-0608）</w:t>
      </w:r>
    </w:p>
    <w:p w14:paraId="1724EC9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7012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C00477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794ED8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  <w:tr w14:paraId="5154B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48ABE2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5BED839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  <w:tr w14:paraId="0444D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84CE67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55C0FDD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</w:tbl>
    <w:p w14:paraId="630D7ED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788E054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  <w:bookmarkEnd w:id="0"/>
      <w:bookmarkStart w:id="1" w:name="heading_1"/>
      <w:r>
        <w:t>目的</w:t>
      </w:r>
      <w:bookmarkEnd w:id="1"/>
    </w:p>
    <w:p w14:paraId="4AF872B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本制度依据ITSS《信息技术服务 运行维护 第1部分：通用要求》（GB/T 28827.1</w:t>
      </w:r>
      <w:r>
        <w:rPr>
          <w:rFonts w:hint="eastAsia"/>
          <w:lang w:val="en-US" w:eastAsia="zh-CN"/>
        </w:rPr>
        <w:t>-2022</w:t>
      </w:r>
      <w:r>
        <w:t>）及公司《信息安全管理程序》，旨在建立规范的服务可用性与连续性管理机制，实现以下目标：</w:t>
      </w:r>
    </w:p>
    <w:p w14:paraId="30F2E4AB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确保运维服务可用性达到服务级别协议（SLA）约定标准，保障客户业务稳定运行；</w:t>
      </w:r>
    </w:p>
    <w:p w14:paraId="7D96F933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识别服务中断风险，制定预防与恢复措施，将服务中断造成的损失降至最低；</w:t>
      </w:r>
    </w:p>
    <w:p w14:paraId="2879746E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满足ITSS运维服务管理体系认证要求，提升公司运维服务规范化水平与市场竞争力。</w:t>
      </w:r>
    </w:p>
    <w:p w14:paraId="37531B96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范围</w:t>
      </w:r>
    </w:p>
    <w:p w14:paraId="724ADCB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本制度适用于公司所有运维服务项目的可用性管理、连续性规划、应急响应及恢复全过程，涵盖以下内容：</w:t>
      </w:r>
    </w:p>
    <w:p w14:paraId="7F86992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运维服务涉及的网络设备、服务器、存储系统、应用系统等IT资产；</w:t>
      </w:r>
    </w:p>
    <w:p w14:paraId="46C8A89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服务可用性指标监测、分析与优化活动；</w:t>
      </w:r>
    </w:p>
    <w:p w14:paraId="37FB11E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服务连续性计划的制定、演练、评审与更新；</w:t>
      </w:r>
    </w:p>
    <w:p w14:paraId="0FD7BFE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服务中断事件的应急处置与恢复工作。</w:t>
      </w:r>
    </w:p>
    <w:p w14:paraId="367E5CF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本制度约束对象包括运维部、</w:t>
      </w:r>
      <w:r>
        <w:rPr>
          <w:rFonts w:hint="eastAsia"/>
          <w:lang w:val="en-US" w:eastAsia="zh-CN"/>
        </w:rPr>
        <w:t>研发部</w:t>
      </w:r>
      <w:r>
        <w:t>、</w:t>
      </w:r>
      <w:r>
        <w:rPr>
          <w:rFonts w:hint="eastAsia"/>
          <w:lang w:val="en-US" w:eastAsia="zh-CN"/>
        </w:rPr>
        <w:t>质量部、人力资源部</w:t>
      </w:r>
      <w:r>
        <w:t>及所有参与运维服务的人员。</w:t>
      </w:r>
    </w:p>
    <w:p w14:paraId="29F2413A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r>
        <w:t>术语与定义</w:t>
      </w:r>
      <w:bookmarkEnd w:id="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8"/>
        <w:gridCol w:w="5690"/>
      </w:tblGrid>
      <w:tr w14:paraId="0AC2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8B86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术语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EDB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定义</w:t>
            </w:r>
          </w:p>
        </w:tc>
      </w:tr>
      <w:tr w14:paraId="443C8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6A72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服务可用性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1AE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在约定时间内，运维服务满足客户业务需求的能力，通常以“服务可用时间/约定服务时间×100%”计算</w:t>
            </w:r>
          </w:p>
        </w:tc>
      </w:tr>
      <w:tr w14:paraId="61AD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A1B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服务连续性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50DF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面对服务中断事件时，通过预防、应急响应与恢复措施，保障服务在规定时间内恢复的能力</w:t>
            </w:r>
          </w:p>
        </w:tc>
      </w:tr>
      <w:tr w14:paraId="0807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8B0E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RTO（恢复时间目标）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CF2C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服务中断后，从故障发生到服务恢复至可接受水平的最长允许时间</w:t>
            </w:r>
          </w:p>
        </w:tc>
      </w:tr>
      <w:tr w14:paraId="014F3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31E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RPO（恢复点目标）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8B3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服务中断后，恢复数据时允许丢失的最大数据量对应的时间点</w:t>
            </w:r>
          </w:p>
        </w:tc>
      </w:tr>
      <w:tr w14:paraId="2BF8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9DFD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应急响应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5F6F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服务中断发生后，为控制事态扩大、减少损失而采取的即时处置措施</w:t>
            </w:r>
          </w:p>
        </w:tc>
      </w:tr>
    </w:tbl>
    <w:p w14:paraId="011F0F99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4"/>
      <w:r>
        <w:t>职责与权限</w:t>
      </w:r>
      <w:bookmarkEnd w:id="3"/>
    </w:p>
    <w:p w14:paraId="75A6192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5"/>
      <w:r>
        <w:t>运维部</w:t>
      </w:r>
      <w:bookmarkEnd w:id="4"/>
    </w:p>
    <w:p w14:paraId="67D5150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作为制度执行主体，负责服务可用性指标的日常监测、统计与分析；</w:t>
      </w:r>
    </w:p>
    <w:p w14:paraId="0EF1CFF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牵头制定服务连续性计划及专项应急方案，组织应急演练；</w:t>
      </w:r>
    </w:p>
    <w:p w14:paraId="18E79C4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服务中断时，启动应急响应，主导故障排查与服务恢复工作；</w:t>
      </w:r>
    </w:p>
    <w:p w14:paraId="7557046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定期汇总可用性数据与连续性管理情况，形成改进报告。</w:t>
      </w:r>
    </w:p>
    <w:p w14:paraId="2FC453C7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6"/>
      <w:r>
        <w:rPr>
          <w:rFonts w:hint="eastAsia"/>
          <w:lang w:val="en-US" w:eastAsia="zh-CN"/>
        </w:rPr>
        <w:t>研发部</w:t>
      </w:r>
      <w:bookmarkEnd w:id="5"/>
    </w:p>
    <w:p w14:paraId="336A26E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提供技术支撑，协助排查复杂技术故障，制定系统优化方案；</w:t>
      </w:r>
    </w:p>
    <w:p w14:paraId="1D77EAD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负责IT资产的定期维护与巡检，减少硬件故障导致的服务中断；</w:t>
      </w:r>
    </w:p>
    <w:p w14:paraId="075EAC9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参与服务连续性计划制定，提供技术可行性评估。</w:t>
      </w:r>
    </w:p>
    <w:p w14:paraId="7B3E2B1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应急管理部</w:t>
      </w:r>
    </w:p>
    <w:p w14:paraId="3A2FBE7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结合《信息安全管理程序》，识别服务中断相关的安全风险；</w:t>
      </w:r>
    </w:p>
    <w:p w14:paraId="6017043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监督应急响应过程中的信息安全措施落实，防止数据泄露；</w:t>
      </w:r>
    </w:p>
    <w:p w14:paraId="6BE8A24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参与服务连续性计划评审，提出安全改进建议。</w:t>
      </w:r>
    </w:p>
    <w:p w14:paraId="1BC42CB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</w:p>
    <w:p w14:paraId="5DF69BE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负责与客户沟通，明确SLA中可用性指标及RTO、RPO要求；</w:t>
      </w:r>
    </w:p>
    <w:p w14:paraId="7F80F96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服务中断时，及时向客户通报故障情况及恢复进展；</w:t>
      </w:r>
    </w:p>
    <w:p w14:paraId="416E44C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收集客户对服务可用性的反馈，协助</w:t>
      </w:r>
      <w:r>
        <w:rPr>
          <w:rFonts w:hint="eastAsia"/>
          <w:lang w:eastAsia="zh-CN"/>
        </w:rPr>
        <w:t>运维部</w:t>
      </w:r>
      <w:r>
        <w:t>优化服务。</w:t>
      </w:r>
    </w:p>
    <w:p w14:paraId="3A86A127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总经理</w:t>
      </w:r>
    </w:p>
    <w:p w14:paraId="6879047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审批服务可用性目标、服务连续性计划及应急方案；</w:t>
      </w:r>
    </w:p>
    <w:p w14:paraId="071E94B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保障服务可用性与连续性管理所需的资源（人员、资金、技术工具）；</w:t>
      </w:r>
    </w:p>
    <w:p w14:paraId="08F3619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评审服务可用性与连续性管理工作成效，推动持续改进。</w:t>
      </w:r>
    </w:p>
    <w:p w14:paraId="21B430EE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10"/>
      <w:r>
        <w:t>服务可用性管理</w:t>
      </w:r>
      <w:bookmarkEnd w:id="6"/>
    </w:p>
    <w:p w14:paraId="0DA85C0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11"/>
      <w:r>
        <w:t>可用性目标确定</w:t>
      </w:r>
      <w:bookmarkEnd w:id="7"/>
    </w:p>
    <w:p w14:paraId="4D9C9C0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服务台</w:t>
      </w:r>
      <w:r>
        <w:t>与客户对接，结合业务重要程度及行业标准，在SLA中明确以下可用性要求，经双方签字确认后生效：</w:t>
      </w:r>
    </w:p>
    <w:p w14:paraId="3C3FC71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核心业务系统可用性目标：通常不低于99.9%（允许年中断时间≤8小时）；</w:t>
      </w:r>
    </w:p>
    <w:p w14:paraId="503665F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一般业务系统可用性目标：通常不低于99.5%（允许年中断时间≤43小时）；</w:t>
      </w:r>
    </w:p>
    <w:p w14:paraId="337CABD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特殊场景（如节假日、业务高峰期）的可用性保障要求。</w:t>
      </w:r>
    </w:p>
    <w:p w14:paraId="0D1F672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需将SLA中的可用性目标分解为具体的IT组件（如服务器、网络设备）可用性指标，确保目标可监测、可落地。</w:t>
      </w:r>
    </w:p>
    <w:p w14:paraId="402259D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12"/>
      <w:r>
        <w:t>可用性监测与统计</w:t>
      </w:r>
      <w:bookmarkEnd w:id="8"/>
    </w:p>
    <w:p w14:paraId="155CA4A2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3"/>
      <w:r>
        <w:t>监测范围与工具</w:t>
      </w:r>
      <w:bookmarkEnd w:id="9"/>
    </w:p>
    <w:p w14:paraId="60C3FCA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部署网络管理系统（NMS）、服务器监控系统、应用性能监控工具，对以下内容进行实时监测：</w:t>
      </w:r>
    </w:p>
    <w:p w14:paraId="646EF9D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网络设备：带宽利用率、端口状态、丢包率、延迟；</w:t>
      </w:r>
    </w:p>
    <w:p w14:paraId="46EFB66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服务器：CPU利用率、内存占用、磁盘空间、进程状态；</w:t>
      </w:r>
    </w:p>
    <w:p w14:paraId="4245A0C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应用系统：响应时间、并发用户数、交易成功率；</w:t>
      </w:r>
    </w:p>
    <w:p w14:paraId="3111D40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存储系统：存储利用率、IOPS、数据同步状态。</w:t>
      </w:r>
    </w:p>
    <w:p w14:paraId="1F0C9A6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4"/>
      <w:r>
        <w:t>监测数据管理</w:t>
      </w:r>
      <w:bookmarkEnd w:id="10"/>
    </w:p>
    <w:p w14:paraId="0758BAD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监测数据需实时采集、自动存储，存储周期不少于1年，内容包括：</w:t>
      </w:r>
    </w:p>
    <w:p w14:paraId="69DAA72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常规监测数据：每5分钟采集一次关键指标，每小时生成基础监测报告；</w:t>
      </w:r>
    </w:p>
    <w:p w14:paraId="5C14D3E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故障相关数据：故障发生时间、故障类型、影响范围、处理过程、恢复时间。</w:t>
      </w:r>
    </w:p>
    <w:p w14:paraId="30E9239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15"/>
      <w:r>
        <w:t>可用性计算</w:t>
      </w:r>
      <w:bookmarkEnd w:id="11"/>
    </w:p>
    <w:p w14:paraId="3DDF453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每月按以下公式计算服务可用性，形成《服务可用性统计报告》：</w:t>
      </w:r>
    </w:p>
    <w:p w14:paraId="37875C2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服务可用性=（约定服务时间-服务中断时间）/约定服务时间×100%</w:t>
      </w:r>
    </w:p>
    <w:p w14:paraId="0BB5525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注：服务中断时间指因运维责任导致的服务不可用时间，不包含客户授权的计划性停机时间及不可抗力导致的中断时间。</w:t>
      </w:r>
    </w:p>
    <w:p w14:paraId="4048221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6"/>
      <w:r>
        <w:t>可用性分析与优化</w:t>
      </w:r>
      <w:bookmarkEnd w:id="12"/>
    </w:p>
    <w:p w14:paraId="2EA0F6D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每月召开可用性分析会议，结合统计数据开展以下工作：</w:t>
      </w:r>
    </w:p>
    <w:p w14:paraId="1554423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对比实际可用性与SLA目标，分析未达标的原因（如硬件故障、配置不合理、攻击事件）；</w:t>
      </w:r>
    </w:p>
    <w:p w14:paraId="20053D3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识别可用性瓶颈，如网络带宽不足、服务器性能过载等，制定优化方案；</w:t>
      </w:r>
    </w:p>
    <w:p w14:paraId="32D6F89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对高频故障点进行根因分析，通过硬件升级、软件补丁、配置优化等措施减少故障发生。</w:t>
      </w:r>
    </w:p>
    <w:p w14:paraId="3A02290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优化方案需明确责任人和完成时限，实施后需跟踪验证优化效果，确保可用性持续提升。</w:t>
      </w:r>
    </w:p>
    <w:p w14:paraId="3388F269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7"/>
      <w:r>
        <w:t>服务连续性管理</w:t>
      </w:r>
      <w:bookmarkEnd w:id="13"/>
    </w:p>
    <w:p w14:paraId="6B911D06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8"/>
      <w:r>
        <w:t>风险识别与评估</w:t>
      </w:r>
      <w:bookmarkEnd w:id="14"/>
    </w:p>
    <w:p w14:paraId="1A43DAE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联合</w:t>
      </w:r>
      <w:r>
        <w:rPr>
          <w:rFonts w:hint="eastAsia"/>
          <w:lang w:val="en-US" w:eastAsia="zh-CN"/>
        </w:rPr>
        <w:t>应急管理部</w:t>
      </w:r>
      <w:r>
        <w:t>，每半年开展一次服务中断风险评估，参考《信息安全管理程序》中的风险评估方法，识别以下风险：</w:t>
      </w:r>
    </w:p>
    <w:p w14:paraId="74F3D9B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技术风险：硬件故障、软件漏洞、网络攻击、数据丢失；</w:t>
      </w:r>
    </w:p>
    <w:p w14:paraId="40E1C85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环境风险：机房断电、火灾、洪水、自然灾害；</w:t>
      </w:r>
    </w:p>
    <w:p w14:paraId="7FB908F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管理风险：人为误操作、人员流失、应急响应不当。</w:t>
      </w:r>
    </w:p>
    <w:p w14:paraId="5B04566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风险评估需形成《服务中断风险评估报告》，明确风险等级、影响范围及潜在损失，为连续性计划制定提供依据。</w:t>
      </w:r>
    </w:p>
    <w:p w14:paraId="509CCA03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19"/>
      <w:r>
        <w:t>服务连续性计划制定</w:t>
      </w:r>
      <w:bookmarkEnd w:id="15"/>
    </w:p>
    <w:p w14:paraId="63D0ADE9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20"/>
      <w:r>
        <w:t>计划核心内容</w:t>
      </w:r>
      <w:bookmarkEnd w:id="16"/>
    </w:p>
    <w:p w14:paraId="65CDF6A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依据风险评估结果及SLA中的RTO、RPO要求，制定《服务连续性计划》，内容包括：</w:t>
      </w:r>
    </w:p>
    <w:p w14:paraId="4E53C04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应急指挥小组、技术处置小组、客户沟通小组的组成及职责；</w:t>
      </w:r>
    </w:p>
    <w:p w14:paraId="354FAEB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RTO与RPO明确：按业务优先级划分核心业务（RTO≤1小时，RPO≤15分钟）、一般业务（RTO≤4小时，RPO≤1小时）；</w:t>
      </w:r>
    </w:p>
    <w:p w14:paraId="092F253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预防措施：硬件冗余、数据备份、漏洞修复、异地容灾等；</w:t>
      </w:r>
    </w:p>
    <w:p w14:paraId="59BA2CD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应急响应流程：故障上报、应急启动、故障排查、服务恢复步骤；</w:t>
      </w:r>
    </w:p>
    <w:p w14:paraId="4586826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资源保障：应急设备、备用网络、技术文档、联系方式清单。</w:t>
      </w:r>
    </w:p>
    <w:p w14:paraId="7AD8D5E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21"/>
      <w:r>
        <w:t>专项应急方案</w:t>
      </w:r>
      <w:bookmarkEnd w:id="17"/>
    </w:p>
    <w:p w14:paraId="11BC451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针对高频风险，需制定专项应急方案，包括但不限于：</w:t>
      </w:r>
    </w:p>
    <w:p w14:paraId="382B419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服务器故障应急方案：明确备用服务器切换流程及数据恢复方法；</w:t>
      </w:r>
    </w:p>
    <w:p w14:paraId="6B666DA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网络中断应急方案：制定备用网络链路切换步骤；</w:t>
      </w:r>
    </w:p>
    <w:p w14:paraId="2101D98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数据丢失应急方案：规定数据恢复的操作流程及验证标准；</w:t>
      </w:r>
    </w:p>
    <w:p w14:paraId="01A31D6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机房灾难应急方案：明确异地容灾中心启动条件及业务切换流程。</w:t>
      </w:r>
    </w:p>
    <w:p w14:paraId="7119AB38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22"/>
      <w:r>
        <w:t>计划审批与发布</w:t>
      </w:r>
      <w:bookmarkEnd w:id="18"/>
    </w:p>
    <w:p w14:paraId="62C1EB8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《服务连续性计划》及专项应急方案需经</w:t>
      </w:r>
      <w:r>
        <w:rPr>
          <w:rFonts w:hint="eastAsia"/>
          <w:lang w:val="en-US" w:eastAsia="zh-CN"/>
        </w:rPr>
        <w:t>研发部</w:t>
      </w:r>
      <w:r>
        <w:t>、</w:t>
      </w:r>
      <w:r>
        <w:rPr>
          <w:rFonts w:hint="eastAsia"/>
          <w:lang w:val="en-US" w:eastAsia="zh-CN"/>
        </w:rPr>
        <w:t>应急管理部</w:t>
      </w:r>
      <w:r>
        <w:t>审核，报管理层批准后发布，确保所有相关人员可随时获取最新版本。</w:t>
      </w:r>
    </w:p>
    <w:p w14:paraId="4825E452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23"/>
      <w:r>
        <w:t>预防措施实施</w:t>
      </w:r>
      <w:bookmarkEnd w:id="19"/>
    </w:p>
    <w:p w14:paraId="60B783F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24"/>
      <w:r>
        <w:t>硬件与网络冗余</w:t>
      </w:r>
      <w:bookmarkEnd w:id="20"/>
    </w:p>
    <w:p w14:paraId="2CF8887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核心服务器采用双机热备模式，确保单台服务器故障时自动切换；</w:t>
      </w:r>
    </w:p>
    <w:p w14:paraId="1B01560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网络设备（路由器、交换机）采用冗余配置，关键链路实现双线备份；</w:t>
      </w:r>
    </w:p>
    <w:p w14:paraId="6719993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机房配备UPS不间断电源及柴油发电机，保障断电后核心设备运行≥4小时。</w:t>
      </w:r>
    </w:p>
    <w:p w14:paraId="033DA3B8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25"/>
      <w:r>
        <w:t>数据备份与恢复</w:t>
      </w:r>
      <w:bookmarkEnd w:id="21"/>
    </w:p>
    <w:p w14:paraId="625C6E2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严格执行数据备份策略，确保数据可恢复，具体要求如下：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1440"/>
        <w:gridCol w:w="1330"/>
        <w:gridCol w:w="1992"/>
        <w:gridCol w:w="1808"/>
      </w:tblGrid>
      <w:tr w14:paraId="7F67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950B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数据类型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C3CC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备份频率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095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备份方式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C40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存储位置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F36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恢复验证周期</w:t>
            </w:r>
          </w:p>
        </w:tc>
      </w:tr>
      <w:tr w14:paraId="68B8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63C1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核心业务数据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25A7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实时增量+每日全量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6DE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加密备份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850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本地+异地容灾中心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23C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每周1次</w:t>
            </w:r>
          </w:p>
        </w:tc>
      </w:tr>
      <w:tr w14:paraId="7133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EA9F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一般业务数据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0C9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每日增量+每周全量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0A09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加密备份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7927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本地存储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2453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每月1次</w:t>
            </w:r>
          </w:p>
        </w:tc>
      </w:tr>
    </w:tbl>
    <w:p w14:paraId="29F7CE30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26"/>
      <w:r>
        <w:t>日常维护与巡检</w:t>
      </w:r>
      <w:bookmarkEnd w:id="22"/>
    </w:p>
    <w:p w14:paraId="7FB1295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技术支持部按以下要求开展日常维护，减少服务中断风险：</w:t>
      </w:r>
    </w:p>
    <w:p w14:paraId="0AA7963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每日巡检：核心设备运行状态、备份任务执行情况；</w:t>
      </w:r>
    </w:p>
    <w:p w14:paraId="1A4BA30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每周巡检：网络拓扑稳定性、软件补丁更新情况；</w:t>
      </w:r>
    </w:p>
    <w:p w14:paraId="3E580B6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每月巡检：硬件健康状态、容灾系统可用性。</w:t>
      </w:r>
    </w:p>
    <w:p w14:paraId="513922E6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27"/>
      <w:r>
        <w:t>应急响应与恢复</w:t>
      </w:r>
      <w:bookmarkEnd w:id="23"/>
    </w:p>
    <w:p w14:paraId="499F05B4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28"/>
      <w:r>
        <w:t>故障上报与分级</w:t>
      </w:r>
      <w:bookmarkEnd w:id="24"/>
    </w:p>
    <w:p w14:paraId="3FA8DE3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服务中断发生后，发现人需立即通过电话、应急平台等方式上报，</w:t>
      </w:r>
      <w:r>
        <w:rPr>
          <w:rFonts w:hint="eastAsia"/>
          <w:lang w:eastAsia="zh-CN"/>
        </w:rPr>
        <w:t>运维部</w:t>
      </w:r>
      <w:r>
        <w:t>根据故障影响范围及RTO要求，将故障分为四级：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8"/>
        <w:gridCol w:w="3782"/>
        <w:gridCol w:w="2760"/>
      </w:tblGrid>
      <w:tr w14:paraId="655D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5DA5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故障等级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714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3EB9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响应时限</w:t>
            </w:r>
          </w:p>
        </w:tc>
      </w:tr>
      <w:tr w14:paraId="4939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00A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一级（特别重大）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CDE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核心业务中断，影响所有客户，RTO≤1小时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61C2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5分钟内响应，应急指挥小组立即启动</w:t>
            </w:r>
          </w:p>
        </w:tc>
      </w:tr>
      <w:tr w14:paraId="679E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5452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二级（重大）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A852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核心业务部分中断，影响重要客户，RTO≤2小时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078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10分钟内响应，技术处置小组立即介入</w:t>
            </w:r>
          </w:p>
        </w:tc>
      </w:tr>
      <w:tr w14:paraId="487F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008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三级（较大）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81C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一般业务中断，影响部分客户，RTO≤4小时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A815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30分钟内响应，运维工程师现场处置</w:t>
            </w:r>
          </w:p>
        </w:tc>
      </w:tr>
      <w:tr w14:paraId="4F250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DA6A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四级（一般）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5B7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单台设备故障，不影响业务运行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8E64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1小时内响应，安排计划性修复</w:t>
            </w:r>
          </w:p>
        </w:tc>
      </w:tr>
    </w:tbl>
    <w:p w14:paraId="1D567BDC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29"/>
      <w:r>
        <w:t>应急处置流程</w:t>
      </w:r>
      <w:bookmarkEnd w:id="25"/>
    </w:p>
    <w:p w14:paraId="75C8748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故障隔离：采取措施隔离故障源，防止故障扩散，如断开故障设备、关闭异常进程；</w:t>
      </w:r>
    </w:p>
    <w:p w14:paraId="2AB73F7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应急恢复：根据专项应急方案启动恢复措施，如切换至备用服务器、恢复数据、启用备用网络；</w:t>
      </w:r>
    </w:p>
    <w:p w14:paraId="7E035EF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客户沟通：</w:t>
      </w:r>
      <w:r>
        <w:rPr>
          <w:rFonts w:hint="eastAsia"/>
          <w:lang w:val="en-US" w:eastAsia="zh-CN"/>
        </w:rPr>
        <w:t>服务台</w:t>
      </w:r>
      <w:r>
        <w:t>按“首报、续报、终报”原则向客户通报情况，首报不超过30分钟，续报间隔不超过1小时；</w:t>
      </w:r>
    </w:p>
    <w:p w14:paraId="3E70DA1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故障排查：服务恢复后，深入排查故障根因，避免同类问题重复发生；</w:t>
      </w:r>
    </w:p>
    <w:p w14:paraId="7F036AA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总结报告：应急处置结束后24小时内，</w:t>
      </w:r>
      <w:r>
        <w:rPr>
          <w:rFonts w:hint="eastAsia"/>
          <w:lang w:eastAsia="zh-CN"/>
        </w:rPr>
        <w:t>运维部</w:t>
      </w:r>
      <w:r>
        <w:t>形成《服务中断应急处置报告》，记录处置过程、原因分析及改进措施。</w:t>
      </w:r>
    </w:p>
    <w:p w14:paraId="463FD5E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30"/>
      <w:r>
        <w:t>计划演练与评审</w:t>
      </w:r>
      <w:bookmarkEnd w:id="26"/>
    </w:p>
    <w:p w14:paraId="34FFD56E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31"/>
      <w:r>
        <w:t>应急演练</w:t>
      </w:r>
      <w:bookmarkEnd w:id="27"/>
    </w:p>
    <w:p w14:paraId="122A08C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至少</w:t>
      </w:r>
      <w:r>
        <w:t>组织一次应急演练，覆盖所有专项应急方案，演练要求如下：</w:t>
      </w:r>
    </w:p>
    <w:p w14:paraId="6D00DD8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演练形式：桌面推演与实战演练相结合，核心业务系统需开展实战演练；</w:t>
      </w:r>
    </w:p>
    <w:p w14:paraId="749EA80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参与人员：</w:t>
      </w:r>
      <w:r>
        <w:rPr>
          <w:rFonts w:hint="eastAsia"/>
          <w:lang w:val="en-US" w:eastAsia="zh-CN"/>
        </w:rPr>
        <w:t>运维相关部门经理和相关职位运维工程师等</w:t>
      </w:r>
      <w:r>
        <w:t>；</w:t>
      </w:r>
    </w:p>
    <w:p w14:paraId="770B279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演练评估：演练结束后，组织评估会议，分析演练过程中存在的问题，形成《应急演练评估报告》。</w:t>
      </w:r>
    </w:p>
    <w:p w14:paraId="089D3C1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32"/>
      <w:r>
        <w:t>计划评审与更新</w:t>
      </w:r>
      <w:bookmarkEnd w:id="28"/>
    </w:p>
    <w:p w14:paraId="2BBFC9C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2025年7月至2026年6月</w:t>
      </w:r>
      <w:r>
        <w:t>对《服务连续性计划》进行一次全面评审，出现以下情况时需及时更新：</w:t>
      </w:r>
    </w:p>
    <w:p w14:paraId="6628A201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SLA变更或客户业务需求调整；</w:t>
      </w:r>
    </w:p>
    <w:p w14:paraId="202241C9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IT系统架构升级或核心设备更换；</w:t>
      </w:r>
    </w:p>
    <w:p w14:paraId="5F7EFFED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应急演练或实际应急处置中发现计划缺陷；</w:t>
      </w:r>
    </w:p>
    <w:p w14:paraId="5EA1897C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相关法律法规或ITSS标准更新。</w:t>
      </w:r>
    </w:p>
    <w:p w14:paraId="142FF7E2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33"/>
      <w:r>
        <w:t>考核与改进</w:t>
      </w:r>
      <w:bookmarkEnd w:id="29"/>
    </w:p>
    <w:p w14:paraId="513C9581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34"/>
      <w:r>
        <w:t>考核指标</w:t>
      </w:r>
      <w:bookmarkEnd w:id="30"/>
    </w:p>
    <w:p w14:paraId="5FD0E1B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公司将服务可用性与连续性管理纳入</w:t>
      </w:r>
      <w:r>
        <w:rPr>
          <w:rFonts w:hint="eastAsia"/>
          <w:lang w:eastAsia="zh-CN"/>
        </w:rPr>
        <w:t>运维部</w:t>
      </w:r>
      <w:r>
        <w:t>绩效考核，核心指标如下：</w:t>
      </w:r>
    </w:p>
    <w:tbl>
      <w:tblPr>
        <w:tblStyle w:val="3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126"/>
        <w:gridCol w:w="2126"/>
        <w:gridCol w:w="2126"/>
      </w:tblGrid>
      <w:tr w14:paraId="6DEA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A0B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sz w:val="18"/>
                <w:szCs w:val="18"/>
              </w:rPr>
              <w:t>指标名称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C8F4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sz w:val="18"/>
                <w:szCs w:val="18"/>
              </w:rPr>
              <w:t>计算公式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1BB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1C0E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考核周期</w:t>
            </w:r>
          </w:p>
        </w:tc>
      </w:tr>
      <w:tr w14:paraId="0465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A1EF8">
            <w:pPr>
              <w:pStyle w:val="44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B34B5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t>（约定服务时间-服务中断时间）/约定服务时间×100%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07886">
            <w:pPr>
              <w:pStyle w:val="44"/>
              <w:spacing w:before="234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F7724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6750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29BF">
            <w:pPr>
              <w:pStyle w:val="44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6788F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5EF4">
            <w:pPr>
              <w:pStyle w:val="44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0634A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5CA6B916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35"/>
      <w:r>
        <w:t>持续改进</w:t>
      </w:r>
      <w:bookmarkEnd w:id="31"/>
    </w:p>
    <w:p w14:paraId="06DE366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每月汇总可用性数据、应急处置情况，每季度组织服务可用性与连续性管理评审会议，针对以下内容制定改进措施：</w:t>
      </w:r>
    </w:p>
    <w:p w14:paraId="0CADF41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可用性未达标的根因及优化方案；</w:t>
      </w:r>
    </w:p>
    <w:p w14:paraId="254EAE6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应急处置过程中暴露的流程或技术问题；</w:t>
      </w:r>
    </w:p>
    <w:p w14:paraId="0379A7F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客户反馈的服务可用性相关意见；</w:t>
      </w:r>
    </w:p>
    <w:p w14:paraId="75FD90F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ITSS标准更新带来的管理要求变化。</w:t>
      </w:r>
    </w:p>
    <w:p w14:paraId="1194D38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改进措施需明确责任部门、完成时限及验证方法，确保改进效果可量化、可追溯。</w:t>
      </w:r>
    </w:p>
    <w:p w14:paraId="64989BD2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GoBack"/>
      <w:bookmarkEnd w:id="36"/>
      <w:bookmarkStart w:id="32" w:name="heading_36"/>
      <w:r>
        <w:t>相关文件与记录</w:t>
      </w:r>
      <w:bookmarkEnd w:id="32"/>
    </w:p>
    <w:p w14:paraId="0661C28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37"/>
      <w:r>
        <w:t>相关文件</w:t>
      </w:r>
      <w:bookmarkEnd w:id="33"/>
    </w:p>
    <w:p w14:paraId="6CD36D8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《信息安全管理程序》</w:t>
      </w:r>
    </w:p>
    <w:p w14:paraId="518AF2B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《服务级别协议管理规范》</w:t>
      </w:r>
    </w:p>
    <w:p w14:paraId="6B2692B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GB/T 28827.1-20</w:t>
      </w:r>
      <w:r>
        <w:rPr>
          <w:rFonts w:hint="eastAsia"/>
          <w:lang w:val="en-US" w:eastAsia="zh-CN"/>
        </w:rPr>
        <w:t>2</w:t>
      </w:r>
      <w:r>
        <w:t>2《信息技术服务 运行维护 第1部分：通用要求》</w:t>
      </w:r>
    </w:p>
    <w:p w14:paraId="0D14995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38"/>
      <w:r>
        <w:t>相关记录</w:t>
      </w:r>
      <w:bookmarkEnd w:id="34"/>
    </w:p>
    <w:p w14:paraId="3A307C6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《服务可用性统计报告》</w:t>
      </w:r>
    </w:p>
    <w:p w14:paraId="5B02127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《服务中断风险评估报告》</w:t>
      </w:r>
    </w:p>
    <w:p w14:paraId="3A6E2E0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《服务连续性计划》</w:t>
      </w:r>
    </w:p>
    <w:p w14:paraId="73A1697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《专项应急方案》</w:t>
      </w:r>
    </w:p>
    <w:p w14:paraId="481D01C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《服务中断应急处置报告》</w:t>
      </w:r>
    </w:p>
    <w:p w14:paraId="5B70079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《应急演练评估报告》</w:t>
      </w:r>
    </w:p>
    <w:p w14:paraId="7BE13A8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《服务可用性与连续性管理评审报告》</w:t>
      </w:r>
    </w:p>
    <w:p w14:paraId="485E608E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39"/>
      <w:r>
        <w:t>附则</w:t>
      </w:r>
      <w:bookmarkEnd w:id="35"/>
    </w:p>
    <w:p w14:paraId="58AF74A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本制度由公司</w:t>
      </w:r>
      <w:r>
        <w:rPr>
          <w:rFonts w:hint="eastAsia"/>
          <w:lang w:eastAsia="zh-CN"/>
        </w:rPr>
        <w:t>运维部</w:t>
      </w:r>
      <w:r>
        <w:t>负责解释与修订，自发布之日起施行。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2F1E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4C01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6E2A1"/>
    <w:multiLevelType w:val="singleLevel"/>
    <w:tmpl w:val="C0B6E2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8DE6B4A"/>
    <w:multiLevelType w:val="singleLevel"/>
    <w:tmpl w:val="F8DE6B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DC21EF"/>
    <w:rsid w:val="631A30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3856</Words>
  <Characters>4048</Characters>
  <Lines>0</Lines>
  <Paragraphs>0</Paragraphs>
  <TotalTime>12</TotalTime>
  <ScaleCrop>false</ScaleCrop>
  <LinksUpToDate>false</LinksUpToDate>
  <CharactersWithSpaces>4054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2025-12-05T09:33:00Z</dcterms:created>
  <dc:creator>Apache POI</dc:creator>
  <cp:lastModifiedBy>郝宇</cp:lastModifiedBy>
  <dcterms:modified xsi:type="dcterms:W3CDTF">2026-02-17T14:48:36Z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84C208AEEF3F4E439854875A53C358DD_12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