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365A94">
      <w:pPr>
        <w:pStyle w:val="4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0" w:name="_Toc4365"/>
      <w:bookmarkStart w:id="1" w:name="heading_2"/>
      <w:r>
        <w:rPr>
          <w:rFonts w:hint="eastAsia"/>
          <w:lang w:val="en-US" w:eastAsia="zh-CN"/>
        </w:rPr>
        <w:t>天津市华夏电缆有限公司</w: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222283A7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textAlignment w:val="baseline"/>
        <w:rPr>
          <w:rFonts w:hint="default"/>
          <w:lang w:val="en-US" w:eastAsia="zh-CN"/>
        </w:rPr>
      </w:pPr>
      <w:bookmarkStart w:id="2" w:name="_Toc3876"/>
      <w:r>
        <w:rPr>
          <w:rFonts w:hint="eastAsia"/>
          <w:lang w:val="en-US" w:eastAsia="zh-CN"/>
        </w:rPr>
        <w:t>容量管理程序</w:t>
      </w:r>
      <w:bookmarkEnd w:id="2"/>
    </w:p>
    <w:p w14:paraId="747536DD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21771"/>
      <w:r>
        <w:rPr>
          <w:rFonts w:hint="eastAsia"/>
          <w:lang w:val="en-US" w:eastAsia="zh-CN"/>
        </w:rPr>
        <w:t>（HXDL-ITSS-0609）</w:t>
      </w:r>
      <w:bookmarkEnd w:id="3"/>
    </w:p>
    <w:p w14:paraId="50D218E2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tbl>
      <w:tblPr>
        <w:tblStyle w:val="3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186324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4D94B442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赵川华</w:t>
            </w:r>
          </w:p>
        </w:tc>
        <w:tc>
          <w:tcPr>
            <w:tcW w:w="4261" w:type="dxa"/>
          </w:tcPr>
          <w:p w14:paraId="226CADB8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2025.07.07</w:t>
            </w:r>
          </w:p>
        </w:tc>
      </w:tr>
      <w:tr w14:paraId="6AAAC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47CF0AB8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602290DD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2025.07.07</w:t>
            </w:r>
          </w:p>
        </w:tc>
      </w:tr>
      <w:tr w14:paraId="1D85E7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07E903DD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批准人: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74B2E610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审批时间:</w:t>
            </w:r>
            <w:r>
              <w:rPr>
                <w:rFonts w:hint="eastAsia"/>
                <w:u w:val="single"/>
                <w:lang w:val="en-US" w:eastAsia="zh-CN"/>
              </w:rPr>
              <w:t>2025.07.07</w:t>
            </w:r>
          </w:p>
        </w:tc>
      </w:tr>
    </w:tbl>
    <w:p w14:paraId="302E0CD3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80970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5891199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5862F19">
          <w:pPr>
            <w:pStyle w:val="22"/>
            <w:tabs>
              <w:tab w:val="right" w:leader="dot" w:pos="8305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_Toc4365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_Toc4365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9015376">
          <w:pPr>
            <w:pStyle w:val="2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_Toc3876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容量管理程序</w:t>
          </w:r>
          <w:r>
            <w:tab/>
          </w:r>
          <w:r>
            <w:fldChar w:fldCharType="begin"/>
          </w:r>
          <w:r>
            <w:instrText xml:space="preserve"> PAGEREF _Toc3876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178CF37">
          <w:pPr>
            <w:pStyle w:val="2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_Toc21771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（HXDL-ITSS-0609）</w:t>
          </w:r>
          <w:r>
            <w:tab/>
          </w:r>
          <w:r>
            <w:fldChar w:fldCharType="begin"/>
          </w:r>
          <w:r>
            <w:instrText xml:space="preserve"> PAGEREF _Toc21771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48E5441">
          <w:pPr>
            <w:pStyle w:val="2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_Toc17347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_Toc17347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C7B56F5">
          <w:pPr>
            <w:pStyle w:val="2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_Toc29571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_Toc29571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BABAC6F">
          <w:pPr>
            <w:pStyle w:val="2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_Toc30972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术语与定义</w:t>
          </w:r>
          <w:r>
            <w:tab/>
          </w:r>
          <w:r>
            <w:fldChar w:fldCharType="begin"/>
          </w:r>
          <w:r>
            <w:instrText xml:space="preserve"> PAGEREF _Toc30972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623FF96">
          <w:pPr>
            <w:pStyle w:val="2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_Toc20754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职责与权限</w:t>
          </w:r>
          <w:r>
            <w:tab/>
          </w:r>
          <w:r>
            <w:fldChar w:fldCharType="begin"/>
          </w:r>
          <w:r>
            <w:instrText xml:space="preserve"> PAGEREF _Toc20754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AAA2920">
          <w:pPr>
            <w:pStyle w:val="2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_Toc23354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rPr>
              <w:rFonts w:hint="eastAsia"/>
              <w:lang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_Toc23354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77B2118">
          <w:pPr>
            <w:pStyle w:val="2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_Toc25016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rPr>
              <w:rFonts w:hint="eastAsia"/>
              <w:lang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_Toc25016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FE2E06D">
          <w:pPr>
            <w:pStyle w:val="2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_Toc2767 </w:instrText>
          </w:r>
          <w:r>
            <w:fldChar w:fldCharType="separate"/>
          </w:r>
          <w:r>
            <w:rPr>
              <w:rFonts w:hint="default"/>
            </w:rPr>
            <w:t xml:space="preserve">4.3. </w:t>
          </w:r>
          <w:r>
            <w:rPr>
              <w:rFonts w:hint="eastAsia"/>
              <w:lang w:eastAsia="zh-CN"/>
            </w:rPr>
            <w:t>服务台</w:t>
          </w:r>
          <w:r>
            <w:tab/>
          </w:r>
          <w:r>
            <w:fldChar w:fldCharType="begin"/>
          </w:r>
          <w:r>
            <w:instrText xml:space="preserve"> PAGEREF _Toc2767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0C9314A">
          <w:pPr>
            <w:pStyle w:val="2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_Toc6015 </w:instrText>
          </w:r>
          <w:r>
            <w:fldChar w:fldCharType="separate"/>
          </w:r>
          <w:r>
            <w:rPr>
              <w:rFonts w:hint="default"/>
            </w:rPr>
            <w:t xml:space="preserve">4.4. </w:t>
          </w:r>
          <w:r>
            <w:t>采购部</w:t>
          </w:r>
          <w:r>
            <w:tab/>
          </w:r>
          <w:r>
            <w:fldChar w:fldCharType="begin"/>
          </w:r>
          <w:r>
            <w:instrText xml:space="preserve"> PAGEREF _Toc6015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0754DCD">
          <w:pPr>
            <w:pStyle w:val="2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_Toc24705 </w:instrText>
          </w:r>
          <w:r>
            <w:fldChar w:fldCharType="separate"/>
          </w:r>
          <w:r>
            <w:rPr>
              <w:rFonts w:hint="default"/>
            </w:rPr>
            <w:t xml:space="preserve">4.5. </w:t>
          </w:r>
          <w:r>
            <w:rPr>
              <w:rFonts w:hint="eastAsia"/>
              <w:lang w:val="en-US" w:eastAsia="zh-CN"/>
            </w:rPr>
            <w:t>总经理</w:t>
          </w:r>
          <w:r>
            <w:tab/>
          </w:r>
          <w:r>
            <w:fldChar w:fldCharType="begin"/>
          </w:r>
          <w:r>
            <w:instrText xml:space="preserve"> PAGEREF _Toc24705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3993E13">
          <w:pPr>
            <w:pStyle w:val="2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_Toc25463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容量管理流程</w:t>
          </w:r>
          <w:r>
            <w:tab/>
          </w:r>
          <w:r>
            <w:fldChar w:fldCharType="begin"/>
          </w:r>
          <w:r>
            <w:instrText xml:space="preserve"> PAGEREF _Toc25463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1104409">
          <w:pPr>
            <w:pStyle w:val="2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_Toc32527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容量基准建立</w:t>
          </w:r>
          <w:r>
            <w:tab/>
          </w:r>
          <w:r>
            <w:fldChar w:fldCharType="begin"/>
          </w:r>
          <w:r>
            <w:instrText xml:space="preserve"> PAGEREF _Toc32527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5B38FAB">
          <w:pPr>
            <w:pStyle w:val="2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_Toc17293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容量监测</w:t>
          </w:r>
          <w:r>
            <w:tab/>
          </w:r>
          <w:r>
            <w:fldChar w:fldCharType="begin"/>
          </w:r>
          <w:r>
            <w:instrText xml:space="preserve"> PAGEREF _Toc17293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1CA0E24">
          <w:pPr>
            <w:pStyle w:val="1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_Toc25143 </w:instrText>
          </w:r>
          <w:r>
            <w:fldChar w:fldCharType="separate"/>
          </w:r>
          <w:r>
            <w:rPr>
              <w:rFonts w:hint="default"/>
            </w:rPr>
            <w:t xml:space="preserve">5.2.1. </w:t>
          </w:r>
          <w:r>
            <w:t>监测范围与指标</w:t>
          </w:r>
          <w:r>
            <w:tab/>
          </w:r>
          <w:r>
            <w:fldChar w:fldCharType="begin"/>
          </w:r>
          <w:r>
            <w:instrText xml:space="preserve"> PAGEREF _Toc25143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3B3B260">
          <w:pPr>
            <w:pStyle w:val="1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_Toc27643 </w:instrText>
          </w:r>
          <w:r>
            <w:fldChar w:fldCharType="separate"/>
          </w:r>
          <w:r>
            <w:rPr>
              <w:rFonts w:hint="default"/>
            </w:rPr>
            <w:t xml:space="preserve">5.2.2. </w:t>
          </w:r>
          <w:r>
            <w:t>监测数据管理</w:t>
          </w:r>
          <w:r>
            <w:tab/>
          </w:r>
          <w:r>
            <w:fldChar w:fldCharType="begin"/>
          </w:r>
          <w:r>
            <w:instrText xml:space="preserve"> PAGEREF _Toc27643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470569F">
          <w:pPr>
            <w:pStyle w:val="2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_Toc24282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容量预警与处置</w:t>
          </w:r>
          <w:r>
            <w:tab/>
          </w:r>
          <w:r>
            <w:fldChar w:fldCharType="begin"/>
          </w:r>
          <w:r>
            <w:instrText xml:space="preserve"> PAGEREF _Toc24282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51A1E20">
          <w:pPr>
            <w:pStyle w:val="1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_Toc20842 </w:instrText>
          </w:r>
          <w:r>
            <w:fldChar w:fldCharType="separate"/>
          </w:r>
          <w:r>
            <w:rPr>
              <w:rFonts w:hint="default"/>
            </w:rPr>
            <w:t xml:space="preserve">5.3.1. </w:t>
          </w:r>
          <w:r>
            <w:t>预警分级</w:t>
          </w:r>
          <w:r>
            <w:tab/>
          </w:r>
          <w:r>
            <w:fldChar w:fldCharType="begin"/>
          </w:r>
          <w:r>
            <w:instrText xml:space="preserve"> PAGEREF _Toc20842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1D25ED8">
          <w:pPr>
            <w:pStyle w:val="1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_Toc25888 </w:instrText>
          </w:r>
          <w:r>
            <w:fldChar w:fldCharType="separate"/>
          </w:r>
          <w:r>
            <w:rPr>
              <w:rFonts w:hint="default"/>
            </w:rPr>
            <w:t xml:space="preserve">5.3.2. </w:t>
          </w:r>
          <w:r>
            <w:t>预警处置流程</w:t>
          </w:r>
          <w:r>
            <w:tab/>
          </w:r>
          <w:r>
            <w:fldChar w:fldCharType="begin"/>
          </w:r>
          <w:r>
            <w:instrText xml:space="preserve"> PAGEREF _Toc25888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88B6558">
          <w:pPr>
            <w:pStyle w:val="2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_Toc16641 </w:instrText>
          </w:r>
          <w:r>
            <w:fldChar w:fldCharType="separate"/>
          </w:r>
          <w:r>
            <w:rPr>
              <w:rFonts w:hint="default"/>
            </w:rPr>
            <w:t xml:space="preserve">5.4. </w:t>
          </w:r>
          <w:r>
            <w:t>容量分析与规划</w:t>
          </w:r>
          <w:r>
            <w:tab/>
          </w:r>
          <w:r>
            <w:fldChar w:fldCharType="begin"/>
          </w:r>
          <w:r>
            <w:instrText xml:space="preserve"> PAGEREF _Toc16641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BFC2F39">
          <w:pPr>
            <w:pStyle w:val="1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_Toc7366 </w:instrText>
          </w:r>
          <w:r>
            <w:fldChar w:fldCharType="separate"/>
          </w:r>
          <w:r>
            <w:rPr>
              <w:rFonts w:hint="default"/>
            </w:rPr>
            <w:t xml:space="preserve">5.4.1. </w:t>
          </w:r>
          <w:r>
            <w:t>定期分析</w:t>
          </w:r>
          <w:r>
            <w:tab/>
          </w:r>
          <w:r>
            <w:fldChar w:fldCharType="begin"/>
          </w:r>
          <w:r>
            <w:instrText xml:space="preserve"> PAGEREF _Toc7366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5D20FD1">
          <w:pPr>
            <w:pStyle w:val="1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_Toc24042 </w:instrText>
          </w:r>
          <w:r>
            <w:fldChar w:fldCharType="separate"/>
          </w:r>
          <w:r>
            <w:rPr>
              <w:rFonts w:hint="default"/>
            </w:rPr>
            <w:t xml:space="preserve">5.4.2. </w:t>
          </w:r>
          <w:r>
            <w:t>容量规划</w:t>
          </w:r>
          <w:r>
            <w:tab/>
          </w:r>
          <w:r>
            <w:fldChar w:fldCharType="begin"/>
          </w:r>
          <w:r>
            <w:instrText xml:space="preserve"> PAGEREF _Toc24042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CF059C0">
          <w:pPr>
            <w:pStyle w:val="2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_Toc29967 </w:instrText>
          </w:r>
          <w:r>
            <w:fldChar w:fldCharType="separate"/>
          </w:r>
          <w:r>
            <w:rPr>
              <w:rFonts w:hint="default"/>
            </w:rPr>
            <w:t xml:space="preserve">5.5. </w:t>
          </w:r>
          <w:r>
            <w:t>容量优化与扩容</w:t>
          </w:r>
          <w:r>
            <w:tab/>
          </w:r>
          <w:r>
            <w:fldChar w:fldCharType="begin"/>
          </w:r>
          <w:r>
            <w:instrText xml:space="preserve"> PAGEREF _Toc29967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4C4B324">
          <w:pPr>
            <w:pStyle w:val="1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_Toc22561 </w:instrText>
          </w:r>
          <w:r>
            <w:fldChar w:fldCharType="separate"/>
          </w:r>
          <w:r>
            <w:rPr>
              <w:rFonts w:hint="default"/>
            </w:rPr>
            <w:t xml:space="preserve">5.5.1. </w:t>
          </w:r>
          <w:r>
            <w:t>容量优化</w:t>
          </w:r>
          <w:r>
            <w:tab/>
          </w:r>
          <w:r>
            <w:fldChar w:fldCharType="begin"/>
          </w:r>
          <w:r>
            <w:instrText xml:space="preserve"> PAGEREF _Toc22561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E137956">
          <w:pPr>
            <w:pStyle w:val="1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_Toc19678 </w:instrText>
          </w:r>
          <w:r>
            <w:fldChar w:fldCharType="separate"/>
          </w:r>
          <w:r>
            <w:rPr>
              <w:rFonts w:hint="default"/>
            </w:rPr>
            <w:t xml:space="preserve">5.5.2. </w:t>
          </w:r>
          <w:r>
            <w:t>容量扩容</w:t>
          </w:r>
          <w:r>
            <w:tab/>
          </w:r>
          <w:r>
            <w:fldChar w:fldCharType="begin"/>
          </w:r>
          <w:r>
            <w:instrText xml:space="preserve"> PAGEREF _Toc19678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4DF27F4">
          <w:pPr>
            <w:pStyle w:val="2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_Toc3709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考核与改进</w:t>
          </w:r>
          <w:r>
            <w:tab/>
          </w:r>
          <w:r>
            <w:fldChar w:fldCharType="begin"/>
          </w:r>
          <w:r>
            <w:instrText xml:space="preserve"> PAGEREF _Toc3709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A8B68A8">
          <w:pPr>
            <w:pStyle w:val="2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_Toc15625 </w:instrText>
          </w:r>
          <w:r>
            <w:fldChar w:fldCharType="separate"/>
          </w:r>
          <w:r>
            <w:rPr>
              <w:rFonts w:hint="default"/>
            </w:rPr>
            <w:t xml:space="preserve">6.1. </w:t>
          </w:r>
          <w:r>
            <w:t>考核指标</w:t>
          </w:r>
          <w:r>
            <w:tab/>
          </w:r>
          <w:r>
            <w:fldChar w:fldCharType="begin"/>
          </w:r>
          <w:r>
            <w:instrText xml:space="preserve"> PAGEREF _Toc15625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09614CF">
          <w:pPr>
            <w:pStyle w:val="2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_Toc7773 </w:instrText>
          </w:r>
          <w:r>
            <w:fldChar w:fldCharType="separate"/>
          </w:r>
          <w:r>
            <w:rPr>
              <w:rFonts w:hint="default"/>
            </w:rPr>
            <w:t xml:space="preserve">6.2. </w:t>
          </w:r>
          <w:r>
            <w:t>持续改进</w:t>
          </w:r>
          <w:r>
            <w:tab/>
          </w:r>
          <w:r>
            <w:fldChar w:fldCharType="begin"/>
          </w:r>
          <w:r>
            <w:instrText xml:space="preserve"> PAGEREF _Toc7773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D869544">
          <w:pPr>
            <w:pStyle w:val="2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_Toc7656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相关文件与记录</w:t>
          </w:r>
          <w:r>
            <w:tab/>
          </w:r>
          <w:r>
            <w:fldChar w:fldCharType="begin"/>
          </w:r>
          <w:r>
            <w:instrText xml:space="preserve"> PAGEREF _Toc7656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AC4B796">
          <w:pPr>
            <w:pStyle w:val="2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_Toc13663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相关文件</w:t>
          </w:r>
          <w:r>
            <w:tab/>
          </w:r>
          <w:r>
            <w:fldChar w:fldCharType="begin"/>
          </w:r>
          <w:r>
            <w:instrText xml:space="preserve"> PAGEREF _Toc13663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638131F">
          <w:pPr>
            <w:pStyle w:val="25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_Toc27303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相关记录</w:t>
          </w:r>
          <w:r>
            <w:tab/>
          </w:r>
          <w:r>
            <w:fldChar w:fldCharType="begin"/>
          </w:r>
          <w:r>
            <w:instrText xml:space="preserve"> PAGEREF _Toc27303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B67CD2A">
          <w:pPr>
            <w:pStyle w:val="22"/>
            <w:tabs>
              <w:tab w:val="right" w:leader="dot" w:pos="8305"/>
            </w:tabs>
          </w:pPr>
          <w:r>
            <w:fldChar w:fldCharType="begin"/>
          </w:r>
          <w:r>
            <w:instrText xml:space="preserve"> HYPERLINK \l _Toc24059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_Toc24059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5C04A33">
          <w:r>
            <w:fldChar w:fldCharType="end"/>
          </w:r>
        </w:p>
      </w:sdtContent>
    </w:sdt>
    <w:p w14:paraId="77941DA3"/>
    <w:p w14:paraId="081836FB">
      <w:pPr>
        <w:pStyle w:val="4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  <w:bookmarkEnd w:id="1"/>
      <w:bookmarkStart w:id="4" w:name="heading_1"/>
      <w:bookmarkStart w:id="5" w:name="_Toc17347"/>
      <w:r>
        <w:t>目的</w:t>
      </w:r>
      <w:bookmarkEnd w:id="4"/>
      <w:bookmarkEnd w:id="5"/>
    </w:p>
    <w:p w14:paraId="2834E763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本制度依据ITSS《信息技术服务 运行维护 第1部分：通用要求》及公司《服务可用性和连续性管理制度》，建立科学的容量管理机制，实现以下目标：</w:t>
      </w:r>
    </w:p>
    <w:p w14:paraId="6242E4B3">
      <w:pPr>
        <w:pStyle w:val="46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实时监控IT资源容量状态，确保资源使用符合服务级别协议（SLA）要求，保障服务稳定运行；</w:t>
      </w:r>
    </w:p>
    <w:p w14:paraId="226BD784">
      <w:pPr>
        <w:pStyle w:val="46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提前识别容量瓶颈，预测资源需求变化，为资源扩容、优化提供数据支撑，避免因容量不足导致服务中断；</w:t>
      </w:r>
    </w:p>
    <w:p w14:paraId="6A7E3FBA">
      <w:pPr>
        <w:pStyle w:val="46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合理规划IT资源配置，提高资源利用率，降低运维成本，满足ITSS运维服务体系规范化要求。</w:t>
      </w:r>
    </w:p>
    <w:p w14:paraId="7C2556DD">
      <w:pPr>
        <w:pStyle w:val="4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6" w:name="_Toc29571"/>
      <w:r>
        <w:t>范围</w:t>
      </w:r>
      <w:bookmarkEnd w:id="6"/>
    </w:p>
    <w:p w14:paraId="69F7C7E6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本制度适用于公司所有运维服务项目中IT资源的容量规划、监测、分析、优化及扩容全流程，涵盖以下内容：</w:t>
      </w:r>
    </w:p>
    <w:p w14:paraId="027C2559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硬件资源：服务器（CPU、内存、磁盘）、存储设备（存储空间、IOPS）、网络设备（带宽、端口容量）；</w:t>
      </w:r>
    </w:p>
    <w:p w14:paraId="57C659F1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软件资源：操作系统资源占用、数据库连接数、应用服务并发处理能力；</w:t>
      </w:r>
    </w:p>
    <w:p w14:paraId="16A3E225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数据资源：业务数据存储容量、日志数据增长趋势、备份数据容量。</w:t>
      </w:r>
    </w:p>
    <w:p w14:paraId="2AD41E47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本制度约束对象包括</w:t>
      </w:r>
      <w:r>
        <w:rPr>
          <w:rFonts w:hint="eastAsia"/>
          <w:lang w:val="en-US" w:eastAsia="zh-CN"/>
        </w:rPr>
        <w:t>运维部、质量部、人力资源部</w:t>
      </w:r>
      <w:r>
        <w:t>、</w:t>
      </w:r>
      <w:r>
        <w:rPr>
          <w:rFonts w:hint="eastAsia"/>
          <w:lang w:val="en-US" w:eastAsia="zh-CN"/>
        </w:rPr>
        <w:t>研发部</w:t>
      </w:r>
      <w:r>
        <w:t>及所有参与IT资源管理的人员。</w:t>
      </w:r>
    </w:p>
    <w:p w14:paraId="6F1717C8">
      <w:pPr>
        <w:pStyle w:val="4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heading_3"/>
      <w:bookmarkStart w:id="8" w:name="_Toc30972"/>
      <w:r>
        <w:t>术语与定义</w:t>
      </w:r>
      <w:bookmarkEnd w:id="7"/>
      <w:bookmarkEnd w:id="8"/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58"/>
        <w:gridCol w:w="7020"/>
      </w:tblGrid>
      <w:tr w14:paraId="6061C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B30CE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术语</w:t>
            </w:r>
          </w:p>
        </w:tc>
        <w:tc>
          <w:tcPr>
            <w:tcW w:w="7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EFC12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定义</w:t>
            </w:r>
          </w:p>
        </w:tc>
      </w:tr>
      <w:tr w14:paraId="24865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742FF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容量管理</w:t>
            </w:r>
          </w:p>
        </w:tc>
        <w:tc>
          <w:tcPr>
            <w:tcW w:w="7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F1BC8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对IT资源的容量进行规划、监测、分析、优化及扩容的全流程管理活动，确保资源供需平衡</w:t>
            </w:r>
          </w:p>
        </w:tc>
      </w:tr>
      <w:tr w14:paraId="46DD8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E4AE4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容量瓶颈</w:t>
            </w:r>
          </w:p>
        </w:tc>
        <w:tc>
          <w:tcPr>
            <w:tcW w:w="7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E393F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IT资源容量无法满足业务需求，导致服务性能下降或不可用的关键限制点</w:t>
            </w:r>
          </w:p>
        </w:tc>
      </w:tr>
      <w:tr w14:paraId="72FAE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DFD44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容量规划</w:t>
            </w:r>
          </w:p>
        </w:tc>
        <w:tc>
          <w:tcPr>
            <w:tcW w:w="7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8115D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根据业务发展趋势及历史数据，预测IT资源需求，制定资源配置及扩容计划的过程</w:t>
            </w:r>
          </w:p>
        </w:tc>
      </w:tr>
      <w:tr w14:paraId="6E305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64DC6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资源利用率</w:t>
            </w:r>
          </w:p>
        </w:tc>
        <w:tc>
          <w:tcPr>
            <w:tcW w:w="7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D4A5B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实际使用的资源容量与总资源容量的百分比，是衡量资源使用效率的核心指标</w:t>
            </w:r>
          </w:p>
        </w:tc>
      </w:tr>
      <w:tr w14:paraId="62A03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21ABD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IOPS</w:t>
            </w:r>
          </w:p>
        </w:tc>
        <w:tc>
          <w:tcPr>
            <w:tcW w:w="70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366A3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每秒输入/输出操作数，是衡量存储设备性能及容量承载能力的重要指标</w:t>
            </w:r>
          </w:p>
        </w:tc>
      </w:tr>
    </w:tbl>
    <w:p w14:paraId="667523C8">
      <w:pPr>
        <w:pStyle w:val="4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heading_4"/>
      <w:bookmarkStart w:id="10" w:name="_Toc20754"/>
      <w:r>
        <w:t>职责与权限</w:t>
      </w:r>
      <w:bookmarkEnd w:id="9"/>
      <w:bookmarkEnd w:id="10"/>
    </w:p>
    <w:p w14:paraId="10AE78CD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_Toc23354"/>
      <w:r>
        <w:rPr>
          <w:rFonts w:hint="eastAsia"/>
          <w:lang w:eastAsia="zh-CN"/>
        </w:rPr>
        <w:t>运维部</w:t>
      </w:r>
      <w:bookmarkEnd w:id="11"/>
    </w:p>
    <w:p w14:paraId="4BF25B73">
      <w:pPr>
        <w:pStyle w:val="46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作为制度执行主体，负责容量管理的日常监测、数据统计与分析工作；</w:t>
      </w:r>
    </w:p>
    <w:p w14:paraId="3C0FEB19">
      <w:pPr>
        <w:pStyle w:val="46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牵头制定容量规划方案、优化措施及扩容计划，跟踪实施效果；</w:t>
      </w:r>
    </w:p>
    <w:p w14:paraId="013CBFBF">
      <w:pPr>
        <w:pStyle w:val="46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识别容量瓶颈，及时发起容量预警并协调相关部门处置；</w:t>
      </w:r>
    </w:p>
    <w:p w14:paraId="441C2E24">
      <w:pPr>
        <w:pStyle w:val="46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定期形成《容量管理报告》，提交管理层及客户（如需）。</w:t>
      </w:r>
    </w:p>
    <w:p w14:paraId="1C9AEDB0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_Toc25016"/>
      <w:r>
        <w:rPr>
          <w:rFonts w:hint="eastAsia"/>
          <w:lang w:eastAsia="zh-CN"/>
        </w:rPr>
        <w:t>研发部</w:t>
      </w:r>
      <w:bookmarkEnd w:id="12"/>
    </w:p>
    <w:p w14:paraId="2BD2481A">
      <w:pPr>
        <w:pStyle w:val="46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提供技术支撑，协助分析容量瓶颈成因，制定技术优化方案（如系统调优、资源调度）；</w:t>
      </w:r>
    </w:p>
    <w:p w14:paraId="72AC7910">
      <w:pPr>
        <w:pStyle w:val="46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负责容量监测工具的部署、维护及升级，确保监测数据的准确性；</w:t>
      </w:r>
    </w:p>
    <w:p w14:paraId="769DAD5D">
      <w:pPr>
        <w:pStyle w:val="46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参与容量规划及扩容方案的技术可行性评估。</w:t>
      </w:r>
    </w:p>
    <w:p w14:paraId="2C3C1038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_Toc2767"/>
      <w:r>
        <w:rPr>
          <w:rFonts w:hint="eastAsia"/>
          <w:lang w:eastAsia="zh-CN"/>
        </w:rPr>
        <w:t>服务台</w:t>
      </w:r>
      <w:bookmarkEnd w:id="13"/>
    </w:p>
    <w:p w14:paraId="53A3664E">
      <w:pPr>
        <w:pStyle w:val="46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对接客户，收集业务发展计划及容量需求相关信息（如用户增长、新业务上线）；</w:t>
      </w:r>
    </w:p>
    <w:p w14:paraId="36F4915B">
      <w:pPr>
        <w:pStyle w:val="46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容量预警或扩容时，及时与客户沟通，同步相关情况并确认需求；</w:t>
      </w:r>
    </w:p>
    <w:p w14:paraId="1DA5BEC6">
      <w:pPr>
        <w:pStyle w:val="46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收集客户对容量相关服务的反馈，协助</w:t>
      </w:r>
      <w:r>
        <w:rPr>
          <w:rFonts w:hint="eastAsia"/>
          <w:lang w:eastAsia="zh-CN"/>
        </w:rPr>
        <w:t>运维部</w:t>
      </w:r>
      <w:r>
        <w:t>优化管理措施。</w:t>
      </w:r>
    </w:p>
    <w:p w14:paraId="41060D83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heading_8"/>
      <w:bookmarkStart w:id="15" w:name="_Toc6015"/>
      <w:r>
        <w:t>采购部</w:t>
      </w:r>
      <w:bookmarkEnd w:id="14"/>
      <w:bookmarkEnd w:id="15"/>
    </w:p>
    <w:p w14:paraId="7B8A5158">
      <w:pPr>
        <w:pStyle w:val="46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根据审批通过的扩容计划，负责IT资源的采购工作，确保资源及时到位；</w:t>
      </w:r>
    </w:p>
    <w:p w14:paraId="54CADD76">
      <w:pPr>
        <w:pStyle w:val="46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对接供应商，获取资源采购周期、成本等信息，为容量规划提供数据支撑。</w:t>
      </w:r>
    </w:p>
    <w:p w14:paraId="05350AE2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_Toc24705"/>
      <w:r>
        <w:rPr>
          <w:rFonts w:hint="eastAsia"/>
          <w:lang w:val="en-US" w:eastAsia="zh-CN"/>
        </w:rPr>
        <w:t>总经理</w:t>
      </w:r>
      <w:bookmarkEnd w:id="16"/>
    </w:p>
    <w:p w14:paraId="3B87481F">
      <w:pPr>
        <w:pStyle w:val="46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审批容量规划方案、重大容量优化措施及扩容计划；</w:t>
      </w:r>
    </w:p>
    <w:p w14:paraId="0365E215">
      <w:pPr>
        <w:pStyle w:val="46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保障容量管理所需的资源（监测工具、人员培训、采购资金）；</w:t>
      </w:r>
    </w:p>
    <w:p w14:paraId="595A07D5">
      <w:pPr>
        <w:pStyle w:val="46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评审容量管理工作成效，推动持续改进。</w:t>
      </w:r>
    </w:p>
    <w:p w14:paraId="4CF8B38E">
      <w:pPr>
        <w:pStyle w:val="4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heading_10"/>
      <w:bookmarkStart w:id="18" w:name="_Toc25463"/>
      <w:r>
        <w:t>容量管理流程</w:t>
      </w:r>
      <w:bookmarkEnd w:id="17"/>
      <w:bookmarkEnd w:id="18"/>
    </w:p>
    <w:p w14:paraId="7C94B544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" w:name="heading_11"/>
      <w:bookmarkStart w:id="20" w:name="_Toc32527"/>
      <w:r>
        <w:t>容量基准建立</w:t>
      </w:r>
      <w:bookmarkEnd w:id="19"/>
      <w:bookmarkEnd w:id="20"/>
    </w:p>
    <w:p w14:paraId="4830A44A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运维部</w:t>
      </w:r>
      <w:r>
        <w:t>在运维项目启动初期，联合</w:t>
      </w:r>
      <w:r>
        <w:rPr>
          <w:rFonts w:hint="eastAsia"/>
          <w:lang w:eastAsia="zh-CN"/>
        </w:rPr>
        <w:t>研发部</w:t>
      </w:r>
      <w:r>
        <w:t>、</w:t>
      </w:r>
      <w:r>
        <w:rPr>
          <w:rFonts w:hint="eastAsia"/>
          <w:lang w:eastAsia="zh-CN"/>
        </w:rPr>
        <w:t>服务台</w:t>
      </w:r>
      <w:r>
        <w:t>建立容量基准，明确以下内容并纳入《容量管理基准表》：</w:t>
      </w:r>
    </w:p>
    <w:p w14:paraId="26B2BD5F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IT资源基础信息：服务器、存储、网络设备等的型号、配置参数、总容量；</w:t>
      </w:r>
    </w:p>
    <w:p w14:paraId="02A4A66C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SLA关联要求：结合服务可用性目标，明确各资源的合理利用率阈值（如CPU利用率≤70%、磁盘空间利用率≤80%）；</w:t>
      </w:r>
    </w:p>
    <w:p w14:paraId="50F68982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业务特征数据：当前业务用户数、数据增长速率、峰值业务量等基准数据。</w:t>
      </w:r>
    </w:p>
    <w:p w14:paraId="397A435B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容量基准需经客户确认（如需）及管理层审批，当IT资源或业务需求发生重大变化时，需及时更新基准信息。</w:t>
      </w:r>
    </w:p>
    <w:p w14:paraId="0464EA88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heading_12"/>
      <w:bookmarkStart w:id="22" w:name="_Toc17293"/>
      <w:r>
        <w:t>容量监测</w:t>
      </w:r>
      <w:bookmarkEnd w:id="21"/>
      <w:bookmarkEnd w:id="22"/>
    </w:p>
    <w:p w14:paraId="60E85303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heading_13"/>
      <w:bookmarkStart w:id="24" w:name="_Toc25143"/>
      <w:r>
        <w:t>监测范围与指标</w:t>
      </w:r>
      <w:bookmarkEnd w:id="23"/>
      <w:bookmarkEnd w:id="24"/>
    </w:p>
    <w:p w14:paraId="096BD74B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运维部</w:t>
      </w:r>
      <w:r>
        <w:t>通过容量监测工具（如服务器监控系统、存储管理平台、网络流量分析工具）对IT资源进行实时监测，核心监测指标如下：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58"/>
        <w:gridCol w:w="3450"/>
        <w:gridCol w:w="1060"/>
        <w:gridCol w:w="2512"/>
      </w:tblGrid>
      <w:tr w14:paraId="78C8C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CB984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资源类型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E570A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核心监测指标</w:t>
            </w:r>
          </w:p>
        </w:tc>
        <w:tc>
          <w:tcPr>
            <w:tcW w:w="1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529AF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监测频率</w:t>
            </w:r>
          </w:p>
        </w:tc>
        <w:tc>
          <w:tcPr>
            <w:tcW w:w="25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233EA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预警阈值</w:t>
            </w:r>
          </w:p>
        </w:tc>
      </w:tr>
      <w:tr w14:paraId="4D989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B2E73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服务器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227F3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CPU利用率、内存占用率、磁盘空间利用率、磁盘IO</w:t>
            </w:r>
          </w:p>
        </w:tc>
        <w:tc>
          <w:tcPr>
            <w:tcW w:w="1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47059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每5分钟</w:t>
            </w:r>
          </w:p>
        </w:tc>
        <w:tc>
          <w:tcPr>
            <w:tcW w:w="25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2C7CA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CPU/内存≥70%，磁盘空间≥80%</w:t>
            </w:r>
          </w:p>
        </w:tc>
      </w:tr>
      <w:tr w14:paraId="5FEAA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D80A9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存储设备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988B0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存储空间利用率、IOPS、读写延迟</w:t>
            </w:r>
          </w:p>
        </w:tc>
        <w:tc>
          <w:tcPr>
            <w:tcW w:w="1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311E7E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每5分钟</w:t>
            </w:r>
          </w:p>
        </w:tc>
        <w:tc>
          <w:tcPr>
            <w:tcW w:w="25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5D9DA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空间≥80%，IOPS≥85%</w:t>
            </w:r>
          </w:p>
        </w:tc>
      </w:tr>
      <w:tr w14:paraId="4B990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A6B75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网络设备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69028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带宽利用率、端口占用率、丢包率</w:t>
            </w:r>
          </w:p>
        </w:tc>
        <w:tc>
          <w:tcPr>
            <w:tcW w:w="1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00B85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每5分钟</w:t>
            </w:r>
          </w:p>
        </w:tc>
        <w:tc>
          <w:tcPr>
            <w:tcW w:w="25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731F8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带宽≥80%，端口≥90%</w:t>
            </w:r>
          </w:p>
        </w:tc>
      </w:tr>
      <w:tr w14:paraId="670A3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3FC16D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数据库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310D1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连接数、表空间利用率、查询响应时间</w:t>
            </w:r>
          </w:p>
        </w:tc>
        <w:tc>
          <w:tcPr>
            <w:tcW w:w="1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ABD51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每5分钟</w:t>
            </w:r>
          </w:p>
        </w:tc>
        <w:tc>
          <w:tcPr>
            <w:tcW w:w="25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953C0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连接数≥80%，表空间≥85%</w:t>
            </w:r>
          </w:p>
        </w:tc>
      </w:tr>
      <w:tr w14:paraId="5511D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936A3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数据资源</w:t>
            </w:r>
          </w:p>
        </w:tc>
        <w:tc>
          <w:tcPr>
            <w:tcW w:w="34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68968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业务数据容量、日志数据容量、备份数据容量</w:t>
            </w:r>
          </w:p>
        </w:tc>
        <w:tc>
          <w:tcPr>
            <w:tcW w:w="1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841B6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每日1次</w:t>
            </w:r>
          </w:p>
        </w:tc>
        <w:tc>
          <w:tcPr>
            <w:tcW w:w="25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41224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增长速率超出历史均值50%</w:t>
            </w:r>
          </w:p>
        </w:tc>
      </w:tr>
    </w:tbl>
    <w:p w14:paraId="3F586D01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heading_14"/>
      <w:bookmarkStart w:id="26" w:name="_Toc27643"/>
      <w:r>
        <w:t>监测数据管理</w:t>
      </w:r>
      <w:bookmarkEnd w:id="25"/>
      <w:bookmarkEnd w:id="26"/>
    </w:p>
    <w:p w14:paraId="51025933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监测数据需实现自动采集、实时存储及可视化展示，具体要求如下：</w:t>
      </w:r>
    </w:p>
    <w:p w14:paraId="05C8C246">
      <w:pPr>
        <w:pStyle w:val="46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数据存储：监测原始数据存储周期不少于6个月，统计分析数据永久留存；</w:t>
      </w:r>
    </w:p>
    <w:p w14:paraId="773DCF85">
      <w:pPr>
        <w:pStyle w:val="46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数据展示：通过监控大屏实时展示核心指标，异常数据自动标红提醒；</w:t>
      </w:r>
    </w:p>
    <w:p w14:paraId="60AAD9A4">
      <w:pPr>
        <w:pStyle w:val="46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数据校验：</w:t>
      </w:r>
      <w:r>
        <w:rPr>
          <w:rFonts w:hint="eastAsia"/>
          <w:lang w:eastAsia="zh-CN"/>
        </w:rPr>
        <w:t>研发部</w:t>
      </w:r>
      <w:r>
        <w:t>每周对监测数据准确性进行校验，确保数据可靠。</w:t>
      </w:r>
    </w:p>
    <w:p w14:paraId="5CEAAF4C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7" w:name="heading_15"/>
      <w:bookmarkStart w:id="28" w:name="_Toc24282"/>
      <w:r>
        <w:t>容量预警与处置</w:t>
      </w:r>
      <w:bookmarkEnd w:id="27"/>
      <w:bookmarkEnd w:id="28"/>
    </w:p>
    <w:p w14:paraId="65CE7A11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9" w:name="heading_16"/>
      <w:bookmarkStart w:id="30" w:name="_Toc20842"/>
      <w:r>
        <w:t>预警分级</w:t>
      </w:r>
      <w:bookmarkEnd w:id="29"/>
      <w:bookmarkEnd w:id="30"/>
    </w:p>
    <w:p w14:paraId="02457D58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当监测指标达到或超出预警阈值时，系统自动触发预警，</w:t>
      </w:r>
      <w:r>
        <w:rPr>
          <w:rFonts w:hint="eastAsia"/>
          <w:lang w:eastAsia="zh-CN"/>
        </w:rPr>
        <w:t>运维部</w:t>
      </w:r>
      <w:r>
        <w:t>根据预警紧急程度将其分为三级：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8"/>
        <w:gridCol w:w="3812"/>
        <w:gridCol w:w="2760"/>
      </w:tblGrid>
      <w:tr w14:paraId="46D4E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8831D5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预警等级</w:t>
            </w:r>
          </w:p>
        </w:tc>
        <w:tc>
          <w:tcPr>
            <w:tcW w:w="38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2C89B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判定标准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C2374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响应时限</w:t>
            </w:r>
          </w:p>
        </w:tc>
      </w:tr>
      <w:tr w14:paraId="00A78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39B4D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一级（紧急）</w:t>
            </w:r>
          </w:p>
        </w:tc>
        <w:tc>
          <w:tcPr>
            <w:tcW w:w="38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99C74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指标≥90%阈值，或已影响服务性能，如CPU利用率≥90%、磁盘空间≥90%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D3F36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15分钟内响应，立即处置</w:t>
            </w:r>
          </w:p>
        </w:tc>
      </w:tr>
      <w:tr w14:paraId="00DCA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1BA9C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二级（重要）</w:t>
            </w:r>
          </w:p>
        </w:tc>
        <w:tc>
          <w:tcPr>
            <w:tcW w:w="38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EBF22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指标≥80%且＜90%阈值，短期可能出现瓶颈，如带宽利用率80%-90%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B247B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1小时内响应，24小时内制定处置方案</w:t>
            </w:r>
          </w:p>
        </w:tc>
      </w:tr>
      <w:tr w14:paraId="2529C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AF11D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三级（一般）</w:t>
            </w:r>
          </w:p>
        </w:tc>
        <w:tc>
          <w:tcPr>
            <w:tcW w:w="38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4F4C8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指标≥预警阈值且＜80%阈值，长期需关注，如数据增长速率异常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847E1C">
            <w:pPr>
              <w:pStyle w:val="46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24小时内响应，纳入周度分析</w:t>
            </w:r>
          </w:p>
        </w:tc>
      </w:tr>
    </w:tbl>
    <w:p w14:paraId="474BB713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1" w:name="heading_17"/>
      <w:bookmarkStart w:id="32" w:name="_Toc25888"/>
      <w:r>
        <w:t>预警处置流程</w:t>
      </w:r>
      <w:bookmarkEnd w:id="31"/>
      <w:bookmarkEnd w:id="32"/>
    </w:p>
    <w:p w14:paraId="2406A3EE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预警接收：</w:t>
      </w:r>
      <w:r>
        <w:rPr>
          <w:rFonts w:hint="eastAsia"/>
          <w:lang w:eastAsia="zh-CN"/>
        </w:rPr>
        <w:t>运维部</w:t>
      </w:r>
      <w:r>
        <w:t>通过监控系统、短信、邮件等方式接收预警信息，立即记录《容量预警记录表》；</w:t>
      </w:r>
    </w:p>
    <w:p w14:paraId="114E3A21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原因分析：联合</w:t>
      </w:r>
      <w:r>
        <w:rPr>
          <w:rFonts w:hint="eastAsia"/>
          <w:lang w:eastAsia="zh-CN"/>
        </w:rPr>
        <w:t>研发部</w:t>
      </w:r>
      <w:r>
        <w:t>分析预警原因，区分临时性峰值（如业务高峰期）与持续性增长（如用户量增加）；</w:t>
      </w:r>
    </w:p>
    <w:p w14:paraId="11F431EA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临时处置：对紧急预警采取临时措施缓解压力，如关闭非必要服务、调整资源调度策略、清理无效数据；</w:t>
      </w:r>
    </w:p>
    <w:p w14:paraId="1CF0970D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长期处置：对重要及一般预警，制定长期方案，如系统优化、资源扩容，并明确责任部门及完成时限；</w:t>
      </w:r>
    </w:p>
    <w:p w14:paraId="43E8FBFF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结果反馈：处置完成后，</w:t>
      </w:r>
      <w:r>
        <w:rPr>
          <w:rFonts w:hint="eastAsia"/>
          <w:lang w:eastAsia="zh-CN"/>
        </w:rPr>
        <w:t>运维部</w:t>
      </w:r>
      <w:r>
        <w:t>验证效果，将结果同步至</w:t>
      </w:r>
      <w:r>
        <w:rPr>
          <w:rFonts w:hint="eastAsia"/>
          <w:lang w:eastAsia="zh-CN"/>
        </w:rPr>
        <w:t>服务台</w:t>
      </w:r>
      <w:r>
        <w:t>及管理层，更新预警记录。</w:t>
      </w:r>
    </w:p>
    <w:p w14:paraId="017E6D8F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3" w:name="heading_18"/>
      <w:bookmarkStart w:id="34" w:name="_Toc16641"/>
      <w:r>
        <w:t>容量分析与规划</w:t>
      </w:r>
      <w:bookmarkEnd w:id="33"/>
      <w:bookmarkEnd w:id="34"/>
    </w:p>
    <w:p w14:paraId="1D9EDF0D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5" w:name="heading_19"/>
      <w:bookmarkStart w:id="36" w:name="_Toc7366"/>
      <w:r>
        <w:t>定期分析</w:t>
      </w:r>
      <w:bookmarkEnd w:id="35"/>
      <w:bookmarkEnd w:id="36"/>
    </w:p>
    <w:p w14:paraId="710B7C78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运维部</w:t>
      </w:r>
      <w:r>
        <w:t>按以下周期开展容量分析，形成分析报告：</w:t>
      </w:r>
    </w:p>
    <w:p w14:paraId="74035790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周分析：汇总本周容量监测数据，识别短期容量风险，形成《周容量分析简报》；</w:t>
      </w:r>
    </w:p>
    <w:p w14:paraId="171668DA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月分析：结合月度业务数据（用户增长、交易量），分析容量变化趋势，评估资源利用率，形成《月容量管理报告》；</w:t>
      </w:r>
    </w:p>
    <w:p w14:paraId="51828E7B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年分析：结合客户业务发展规划，预测未来1-3年容量需求，形成《年度容量规划报告》。</w:t>
      </w:r>
    </w:p>
    <w:p w14:paraId="645C211E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7" w:name="heading_20"/>
      <w:bookmarkStart w:id="38" w:name="_Toc24042"/>
      <w:r>
        <w:t>容量规划</w:t>
      </w:r>
      <w:bookmarkEnd w:id="37"/>
      <w:bookmarkEnd w:id="38"/>
    </w:p>
    <w:p w14:paraId="25710257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运维部</w:t>
      </w:r>
      <w:r>
        <w:t>基于定期分析结果，制定容量规划方案，核心内容包括：</w:t>
      </w:r>
    </w:p>
    <w:p w14:paraId="37494A3E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需求预测：结合历史增长速率、业务发展计划，预测CPU、内存、存储、带宽等资源的未来需求；</w:t>
      </w:r>
    </w:p>
    <w:p w14:paraId="335B6975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配置方案：明确现有资源优化方向及新增资源的型号、数量、配置参数；</w:t>
      </w:r>
    </w:p>
    <w:p w14:paraId="71318DF8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实施计划：分阶段制定资源扩容及优化的时间表、责任人，明确采购及部署周期；</w:t>
      </w:r>
    </w:p>
    <w:p w14:paraId="65EEC171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成本估算：联合采购部估算规划方案所需成本，确保经济性。</w:t>
      </w:r>
    </w:p>
    <w:p w14:paraId="4EEA1CAE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年度容量规划方案需经</w:t>
      </w:r>
      <w:r>
        <w:rPr>
          <w:rFonts w:hint="eastAsia"/>
          <w:lang w:eastAsia="zh-CN"/>
        </w:rPr>
        <w:t>研发部</w:t>
      </w:r>
      <w:r>
        <w:t>、采购部审核，报管理层及客户（如需）批准后实施。</w:t>
      </w:r>
    </w:p>
    <w:p w14:paraId="786F9A65">
      <w:pPr>
        <w:pStyle w:val="4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9" w:name="heading_21"/>
      <w:bookmarkStart w:id="40" w:name="_Toc29967"/>
      <w:r>
        <w:t>容量优化与扩容</w:t>
      </w:r>
      <w:bookmarkEnd w:id="39"/>
      <w:bookmarkEnd w:id="40"/>
    </w:p>
    <w:p w14:paraId="3624B12D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1" w:name="heading_22"/>
      <w:bookmarkStart w:id="42" w:name="_Toc22561"/>
      <w:r>
        <w:t>容量优化</w:t>
      </w:r>
      <w:bookmarkEnd w:id="41"/>
      <w:bookmarkEnd w:id="42"/>
    </w:p>
    <w:p w14:paraId="1B46E43C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优先通过技术优化提升资源利用率，减少不必要的扩容，优化措施包括：</w:t>
      </w:r>
    </w:p>
    <w:p w14:paraId="4C25D430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系统优化：</w:t>
      </w:r>
      <w:r>
        <w:rPr>
          <w:rFonts w:hint="eastAsia"/>
          <w:lang w:eastAsia="zh-CN"/>
        </w:rPr>
        <w:t>研发部</w:t>
      </w:r>
      <w:r>
        <w:t>对服务器、数据库进行调优，如优化SQL语句、调整内存分配、关闭冗余服务；</w:t>
      </w:r>
    </w:p>
    <w:p w14:paraId="2DB8561C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资源调度：</w:t>
      </w:r>
      <w:r>
        <w:rPr>
          <w:rFonts w:hint="eastAsia"/>
          <w:lang w:eastAsia="zh-CN"/>
        </w:rPr>
        <w:t>运维部</w:t>
      </w:r>
      <w:r>
        <w:t>通过虚拟化技术整合服务器资源，实现负载均衡，提高CPU、内存利用率；</w:t>
      </w:r>
    </w:p>
    <w:p w14:paraId="2887F32C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数据治理：清理无效业务数据、压缩日志数据、归档历史数据，释放存储空间；</w:t>
      </w:r>
    </w:p>
    <w:p w14:paraId="6321F4D4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带宽优化：采用数据压缩、缓存技术减少网络带宽占用，优化网络传输效率。</w:t>
      </w:r>
    </w:p>
    <w:p w14:paraId="5C669B99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优化实施后，</w:t>
      </w:r>
      <w:r>
        <w:rPr>
          <w:rFonts w:hint="eastAsia"/>
          <w:lang w:eastAsia="zh-CN"/>
        </w:rPr>
        <w:t>运维部</w:t>
      </w:r>
      <w:r>
        <w:t>需跟踪验证效果，确保资源利用率达到合理范围。</w:t>
      </w:r>
    </w:p>
    <w:p w14:paraId="2AFE9558">
      <w:pPr>
        <w:pStyle w:val="4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3" w:name="heading_23"/>
      <w:bookmarkStart w:id="44" w:name="_Toc19678"/>
      <w:r>
        <w:t>容量扩容</w:t>
      </w:r>
      <w:bookmarkEnd w:id="43"/>
      <w:bookmarkEnd w:id="44"/>
    </w:p>
    <w:p w14:paraId="42F59920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当容量优化无法满足需求时，启动扩容流程：</w:t>
      </w:r>
    </w:p>
    <w:p w14:paraId="16238079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扩容申请：</w:t>
      </w:r>
      <w:r>
        <w:rPr>
          <w:rFonts w:hint="eastAsia"/>
          <w:lang w:eastAsia="zh-CN"/>
        </w:rPr>
        <w:t>运维部</w:t>
      </w:r>
      <w:r>
        <w:t>填写《容量扩容申请表》，说明扩容原因、所需资源、预算及时间要求；</w:t>
      </w:r>
    </w:p>
    <w:p w14:paraId="3DA97656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审批流程：经</w:t>
      </w:r>
      <w:r>
        <w:rPr>
          <w:rFonts w:hint="eastAsia"/>
          <w:lang w:eastAsia="zh-CN"/>
        </w:rPr>
        <w:t>研发部</w:t>
      </w:r>
      <w:r>
        <w:t>（技术可行性）、采购部（成本估算）审核后，报管理层及客户（如需）批准；</w:t>
      </w:r>
    </w:p>
    <w:p w14:paraId="010B548A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资源采购：采购部根据审批结果，按公司采购流程完成资源采购，确保资源按时到位；</w:t>
      </w:r>
    </w:p>
    <w:p w14:paraId="2C00BD82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部署实施：</w:t>
      </w:r>
      <w:r>
        <w:rPr>
          <w:rFonts w:hint="eastAsia"/>
          <w:lang w:eastAsia="zh-CN"/>
        </w:rPr>
        <w:t>研发部</w:t>
      </w:r>
      <w:r>
        <w:t>联合</w:t>
      </w:r>
      <w:r>
        <w:rPr>
          <w:rFonts w:hint="eastAsia"/>
          <w:lang w:eastAsia="zh-CN"/>
        </w:rPr>
        <w:t>运维部</w:t>
      </w:r>
      <w:r>
        <w:t>完成资源部署、配置及测试，确保与现有系统兼容；</w:t>
      </w:r>
    </w:p>
    <w:p w14:paraId="67DF47E5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验收确认：</w:t>
      </w:r>
      <w:r>
        <w:rPr>
          <w:rFonts w:hint="eastAsia"/>
          <w:lang w:eastAsia="zh-CN"/>
        </w:rPr>
        <w:t>运维部</w:t>
      </w:r>
      <w:r>
        <w:t>验证扩容后容量满足需求，填写《容量扩容验收表》，经相关部门签字确认。</w:t>
      </w:r>
    </w:p>
    <w:p w14:paraId="46D1E7DF">
      <w:pPr>
        <w:pStyle w:val="4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5" w:name="heading_24"/>
      <w:bookmarkStart w:id="46" w:name="_Toc3709"/>
      <w:r>
        <w:t>考核与改进</w:t>
      </w:r>
      <w:bookmarkEnd w:id="45"/>
      <w:bookmarkEnd w:id="46"/>
    </w:p>
    <w:p w14:paraId="02008F20">
      <w:pPr>
        <w:pStyle w:val="47"/>
        <w:bidi w:val="0"/>
      </w:pPr>
      <w:bookmarkStart w:id="47" w:name="heading_25"/>
      <w:bookmarkStart w:id="48" w:name="_Toc15625"/>
      <w:r>
        <w:t>考核指标</w:t>
      </w:r>
      <w:bookmarkEnd w:id="47"/>
      <w:bookmarkEnd w:id="48"/>
    </w:p>
    <w:p w14:paraId="7C87C36D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公司将容量管理纳入</w:t>
      </w:r>
      <w:r>
        <w:rPr>
          <w:rFonts w:hint="eastAsia"/>
          <w:lang w:eastAsia="zh-CN"/>
        </w:rPr>
        <w:t>运维部</w:t>
      </w:r>
      <w:r>
        <w:t>及相关部门绩效考核，核心指标如下：</w:t>
      </w:r>
    </w:p>
    <w:tbl>
      <w:tblPr>
        <w:tblStyle w:val="3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9"/>
        <w:gridCol w:w="2261"/>
        <w:gridCol w:w="2070"/>
        <w:gridCol w:w="2070"/>
      </w:tblGrid>
      <w:tr w14:paraId="675BA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96" w:hRule="atLeast"/>
        </w:trPr>
        <w:tc>
          <w:tcPr>
            <w:tcW w:w="187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62B55">
            <w:pPr>
              <w:pStyle w:val="44"/>
              <w:spacing w:before="234" w:line="218" w:lineRule="auto"/>
              <w:ind w:left="137" w:leftChars="0"/>
              <w:rPr>
                <w:rFonts w:hint="eastAsia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指标名称</w:t>
            </w:r>
          </w:p>
        </w:tc>
        <w:tc>
          <w:tcPr>
            <w:tcW w:w="226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83B50">
            <w:pPr>
              <w:pStyle w:val="44"/>
              <w:spacing w:before="234" w:line="218" w:lineRule="auto"/>
              <w:ind w:left="137" w:leftChars="0"/>
              <w:rPr>
                <w:rFonts w:hint="eastAsia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目标值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1C645">
            <w:pPr>
              <w:pStyle w:val="44"/>
              <w:spacing w:before="234" w:line="218" w:lineRule="auto"/>
              <w:ind w:left="137" w:leftChars="0"/>
              <w:rPr>
                <w:rFonts w:hint="eastAsia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统计周期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0E807">
            <w:pPr>
              <w:pStyle w:val="44"/>
              <w:spacing w:before="234" w:line="218" w:lineRule="auto"/>
              <w:ind w:left="137" w:leftChars="0"/>
              <w:rPr>
                <w:rFonts w:hint="eastAsia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责任部门</w:t>
            </w:r>
          </w:p>
        </w:tc>
      </w:tr>
      <w:tr w14:paraId="03FBC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9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C39C2">
            <w:pPr>
              <w:pStyle w:val="44"/>
              <w:spacing w:before="234" w:line="218" w:lineRule="auto"/>
              <w:ind w:left="137" w:leftChars="0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容量事故次数</w:t>
            </w:r>
          </w:p>
        </w:tc>
        <w:tc>
          <w:tcPr>
            <w:tcW w:w="2261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27569">
            <w:pPr>
              <w:pStyle w:val="44"/>
              <w:spacing w:before="78" w:line="237" w:lineRule="auto"/>
              <w:ind w:left="128" w:leftChars="0" w:right="354" w:rightChars="0" w:hanging="8" w:firstLineChars="0"/>
              <w:rPr>
                <w:rFonts w:hint="eastAsia" w:ascii="宋体" w:hAnsi="宋体" w:eastAsia="宋体" w:cs="宋体"/>
                <w:snapToGrid w:val="0"/>
                <w:color w:val="000000"/>
                <w:spacing w:val="-4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数量，因为容量事故导致的停机次数</w:t>
            </w:r>
          </w:p>
        </w:tc>
        <w:tc>
          <w:tcPr>
            <w:tcW w:w="207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A857F">
            <w:pPr>
              <w:pStyle w:val="44"/>
              <w:spacing w:before="234" w:line="237" w:lineRule="auto"/>
              <w:ind w:left="168" w:leftChars="0"/>
              <w:rPr>
                <w:rFonts w:hint="eastAsia" w:ascii="宋体" w:hAnsi="宋体" w:eastAsia="宋体" w:cs="宋体"/>
                <w:snapToGrid w:val="0"/>
                <w:color w:val="000000"/>
                <w:spacing w:val="-9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≤1</w:t>
            </w:r>
          </w:p>
        </w:tc>
        <w:tc>
          <w:tcPr>
            <w:tcW w:w="2070" w:type="dxa"/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5DB24">
            <w:pPr>
              <w:pStyle w:val="44"/>
              <w:spacing w:before="233" w:line="217" w:lineRule="auto"/>
              <w:ind w:left="158" w:leftChars="0"/>
              <w:rPr>
                <w:rFonts w:hint="eastAsia" w:ascii="宋体" w:hAnsi="宋体"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季度</w:t>
            </w:r>
          </w:p>
        </w:tc>
      </w:tr>
    </w:tbl>
    <w:p w14:paraId="198BB478">
      <w:pPr>
        <w:pStyle w:val="47"/>
        <w:bidi w:val="0"/>
      </w:pPr>
      <w:bookmarkStart w:id="49" w:name="heading_26"/>
      <w:bookmarkStart w:id="50" w:name="_Toc7773"/>
      <w:r>
        <w:t>持续改进</w:t>
      </w:r>
      <w:bookmarkEnd w:id="49"/>
      <w:bookmarkEnd w:id="50"/>
    </w:p>
    <w:p w14:paraId="06F328DF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  <w:lang w:eastAsia="zh-CN"/>
        </w:rPr>
        <w:t>运维部</w:t>
      </w:r>
      <w:r>
        <w:t>每季度组织容量管理评审会议，结合考核指标、客户反馈及ITSS标准更新，开展以下改进工作：</w:t>
      </w:r>
    </w:p>
    <w:p w14:paraId="5650839E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分析容量管理过程中存在的问题，如预警响应延迟、规划不准确等，制定针对性改进措施；</w:t>
      </w:r>
    </w:p>
    <w:p w14:paraId="47043F81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评估容量监测工具的适用性，必要时提出工具升级或更换建议；</w:t>
      </w:r>
    </w:p>
    <w:p w14:paraId="7B6C0F95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收集行业内容量管理最佳实践，优化管理流程及技术措施；</w:t>
      </w:r>
    </w:p>
    <w:p w14:paraId="50AC3EB6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根据业务发展及技术变革，更新容量基准及预警阈值。</w:t>
      </w:r>
    </w:p>
    <w:p w14:paraId="5A776D57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改进措施需明确责任人和完成时限，实施后跟踪验证效果，确保容量管理水平持续提升。</w:t>
      </w:r>
    </w:p>
    <w:p w14:paraId="21764084">
      <w:pPr>
        <w:pStyle w:val="4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1" w:name="heading_27"/>
      <w:bookmarkStart w:id="52" w:name="_Toc7656"/>
      <w:r>
        <w:t>相关文件与记录</w:t>
      </w:r>
      <w:bookmarkEnd w:id="51"/>
      <w:bookmarkEnd w:id="52"/>
    </w:p>
    <w:p w14:paraId="04F34FA3">
      <w:pPr>
        <w:pStyle w:val="47"/>
        <w:bidi w:val="0"/>
      </w:pPr>
      <w:bookmarkStart w:id="53" w:name="heading_28"/>
      <w:bookmarkStart w:id="54" w:name="_Toc13663"/>
      <w:r>
        <w:t>相关文件</w:t>
      </w:r>
      <w:bookmarkEnd w:id="53"/>
      <w:bookmarkEnd w:id="54"/>
    </w:p>
    <w:p w14:paraId="07551948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《服务可用性和连续性管理制度》</w:t>
      </w:r>
    </w:p>
    <w:p w14:paraId="0D379B09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《信息安全管理程序》</w:t>
      </w:r>
    </w:p>
    <w:p w14:paraId="6A2AD1FA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《服务级别协议管理规范》</w:t>
      </w:r>
    </w:p>
    <w:p w14:paraId="6BEDDD63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《IT资产运维管理规范》</w:t>
      </w:r>
    </w:p>
    <w:p w14:paraId="4E79D1EE">
      <w:pPr>
        <w:pStyle w:val="47"/>
        <w:bidi w:val="0"/>
      </w:pPr>
      <w:bookmarkStart w:id="55" w:name="heading_29"/>
      <w:bookmarkStart w:id="56" w:name="_Toc27303"/>
      <w:r>
        <w:t>相关记录</w:t>
      </w:r>
      <w:bookmarkEnd w:id="55"/>
      <w:bookmarkEnd w:id="56"/>
    </w:p>
    <w:p w14:paraId="7F1903D9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《容量管理基准表》</w:t>
      </w:r>
    </w:p>
    <w:p w14:paraId="17914582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《容量预警记录表》</w:t>
      </w:r>
    </w:p>
    <w:p w14:paraId="39C9F5F2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《月容量管理报告》</w:t>
      </w:r>
    </w:p>
    <w:p w14:paraId="1A1C556D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《年度容量规划报告》</w:t>
      </w:r>
    </w:p>
    <w:p w14:paraId="5DAFBAF7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《容量扩容申请表》</w:t>
      </w:r>
    </w:p>
    <w:p w14:paraId="397A644A">
      <w:pPr>
        <w:pStyle w:val="4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《容量扩容验收表》</w:t>
      </w:r>
      <w:bookmarkStart w:id="57" w:name="_GoBack"/>
      <w:bookmarkEnd w:id="57"/>
    </w:p>
    <w:sectPr>
      <w:headerReference r:id="rId5" w:type="default"/>
      <w:footerReference r:id="rId6" w:type="default"/>
      <w:pgSz w:w="11905" w:h="16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298C2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8F0CB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22D9EAF"/>
    <w:multiLevelType w:val="singleLevel"/>
    <w:tmpl w:val="A22D9EA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E05532E"/>
    <w:multiLevelType w:val="singleLevel"/>
    <w:tmpl w:val="DE05532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6480CF5"/>
    <w:multiLevelType w:val="singleLevel"/>
    <w:tmpl w:val="F6480CF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00D5AA52"/>
    <w:multiLevelType w:val="singleLevel"/>
    <w:tmpl w:val="00D5AA5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496BC4D6"/>
    <w:multiLevelType w:val="singleLevel"/>
    <w:tmpl w:val="496BC4D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5437872B"/>
    <w:multiLevelType w:val="singleLevel"/>
    <w:tmpl w:val="5437872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5D655597"/>
    <w:multiLevelType w:val="singleLevel"/>
    <w:tmpl w:val="5D65559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7"/>
  </w:num>
  <w:num w:numId="5">
    <w:abstractNumId w:val="4"/>
  </w:num>
  <w:num w:numId="6">
    <w:abstractNumId w:val="6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36D2C2B"/>
    <w:rsid w:val="511D610D"/>
    <w:rsid w:val="7EEE72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32">
    <w:name w:val="Default Paragraph Font"/>
    <w:semiHidden/>
    <w:qFormat/>
    <w:uiPriority w:val="0"/>
  </w:style>
  <w:style w:type="table" w:default="1" w:styleId="3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Salutation"/>
    <w:basedOn w:val="1"/>
    <w:next w:val="1"/>
    <w:qFormat/>
    <w:uiPriority w:val="0"/>
  </w:style>
  <w:style w:type="paragraph" w:styleId="14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left="100" w:leftChars="2500"/>
    </w:pPr>
  </w:style>
  <w:style w:type="paragraph" w:styleId="17">
    <w:name w:val="endnote text"/>
    <w:basedOn w:val="1"/>
    <w:qFormat/>
    <w:uiPriority w:val="0"/>
    <w:pPr>
      <w:snapToGrid w:val="0"/>
      <w:jc w:val="left"/>
    </w:pPr>
  </w:style>
  <w:style w:type="paragraph" w:styleId="18">
    <w:name w:val="Balloon Text"/>
    <w:basedOn w:val="1"/>
    <w:qFormat/>
    <w:uiPriority w:val="0"/>
    <w:rPr>
      <w:sz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0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21">
    <w:name w:val="Signature"/>
    <w:basedOn w:val="1"/>
    <w:qFormat/>
    <w:uiPriority w:val="0"/>
    <w:pPr>
      <w:ind w:left="100" w:leftChars="2100"/>
    </w:pPr>
  </w:style>
  <w:style w:type="paragraph" w:styleId="22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23">
    <w:name w:val="Subtitle"/>
    <w:basedOn w:val="1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24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sz w:val="24"/>
    </w:rPr>
  </w:style>
  <w:style w:type="paragraph" w:styleId="28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29">
    <w:name w:val="annotation subject"/>
    <w:basedOn w:val="12"/>
    <w:next w:val="12"/>
    <w:qFormat/>
    <w:uiPriority w:val="0"/>
    <w:rPr>
      <w:b/>
    </w:rPr>
  </w:style>
  <w:style w:type="table" w:styleId="31">
    <w:name w:val="Table Grid"/>
    <w:basedOn w:val="3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0"/>
    <w:rPr>
      <w:b/>
    </w:rPr>
  </w:style>
  <w:style w:type="character" w:styleId="34">
    <w:name w:val="endnote reference"/>
    <w:basedOn w:val="32"/>
    <w:qFormat/>
    <w:uiPriority w:val="0"/>
    <w:rPr>
      <w:vertAlign w:val="superscript"/>
    </w:rPr>
  </w:style>
  <w:style w:type="character" w:styleId="35">
    <w:name w:val="page number"/>
    <w:basedOn w:val="32"/>
    <w:qFormat/>
    <w:uiPriority w:val="0"/>
  </w:style>
  <w:style w:type="character" w:styleId="36">
    <w:name w:val="FollowedHyperlink"/>
    <w:basedOn w:val="32"/>
    <w:qFormat/>
    <w:uiPriority w:val="0"/>
    <w:rPr>
      <w:color w:val="800080"/>
      <w:u w:val="single"/>
    </w:rPr>
  </w:style>
  <w:style w:type="character" w:styleId="37">
    <w:name w:val="Emphasis"/>
    <w:basedOn w:val="32"/>
    <w:qFormat/>
    <w:uiPriority w:val="0"/>
    <w:rPr>
      <w:i/>
    </w:rPr>
  </w:style>
  <w:style w:type="character" w:styleId="38">
    <w:name w:val="Hyperlink"/>
    <w:basedOn w:val="32"/>
    <w:qFormat/>
    <w:uiPriority w:val="0"/>
    <w:rPr>
      <w:color w:val="0000FF"/>
      <w:u w:val="single"/>
    </w:rPr>
  </w:style>
  <w:style w:type="character" w:styleId="39">
    <w:name w:val="annotation reference"/>
    <w:basedOn w:val="32"/>
    <w:qFormat/>
    <w:uiPriority w:val="0"/>
    <w:rPr>
      <w:sz w:val="21"/>
    </w:rPr>
  </w:style>
  <w:style w:type="character" w:styleId="40">
    <w:name w:val="footnote reference"/>
    <w:basedOn w:val="32"/>
    <w:qFormat/>
    <w:uiPriority w:val="0"/>
    <w:rPr>
      <w:vertAlign w:val="superscript"/>
    </w:rPr>
  </w:style>
  <w:style w:type="paragraph" w:customStyle="1" w:styleId="41">
    <w:name w:val="柴_公司名"/>
    <w:basedOn w:val="28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42">
    <w:name w:val="柴_文档名"/>
    <w:basedOn w:val="28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43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4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45">
    <w:name w:val="柴_标题1"/>
    <w:basedOn w:val="2"/>
    <w:next w:val="46"/>
    <w:link w:val="55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46">
    <w:name w:val="柴_正文"/>
    <w:basedOn w:val="14"/>
    <w:link w:val="58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47">
    <w:name w:val="柴_标题2"/>
    <w:basedOn w:val="3"/>
    <w:next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48">
    <w:name w:val="柴_标题3"/>
    <w:basedOn w:val="4"/>
    <w:next w:val="46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49">
    <w:name w:val="柴_目录"/>
    <w:basedOn w:val="1"/>
    <w:next w:val="14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50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1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2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3">
    <w:name w:val="Compact"/>
    <w:basedOn w:val="14"/>
    <w:qFormat/>
    <w:uiPriority w:val="0"/>
    <w:pPr>
      <w:spacing w:before="36" w:after="36"/>
    </w:pPr>
  </w:style>
  <w:style w:type="table" w:customStyle="1" w:styleId="5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55">
    <w:name w:val="柴_标题1 Char"/>
    <w:link w:val="45"/>
    <w:qFormat/>
    <w:uiPriority w:val="0"/>
    <w:rPr>
      <w:rFonts w:ascii="Arial" w:hAnsi="Arial" w:eastAsia="宋体"/>
      <w:sz w:val="32"/>
    </w:rPr>
  </w:style>
  <w:style w:type="paragraph" w:customStyle="1" w:styleId="56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57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58">
    <w:name w:val="柴_正文 Char"/>
    <w:link w:val="46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3595</Words>
  <Characters>3857</Characters>
  <Lines>0</Lines>
  <Paragraphs>0</Paragraphs>
  <TotalTime>0</TotalTime>
  <ScaleCrop>false</ScaleCrop>
  <LinksUpToDate>false</LinksUpToDate>
  <CharactersWithSpaces>3988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2025-12-05T09:33:00Z</dcterms:created>
  <dc:creator>Apache POI</dc:creator>
  <cp:lastModifiedBy>郝宇</cp:lastModifiedBy>
  <dcterms:modified xsi:type="dcterms:W3CDTF">2026-02-17T14:50:11Z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84C208AEEF3F4E439854875A53C358DD_12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