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bookmarkStart w:id="0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过程量化指标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（HXDL-ITSS-0611）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TableNormal0"/>
        <w:tblW w:w="9430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>
        <w:tblPrEx>
          <w:tblW w:w="9430" w:type="dxa"/>
          <w:tblInd w:w="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/>
        </w:trPr>
        <w:tc>
          <w:tcPr>
            <w:tcW w:w="9430" w:type="dxa"/>
            <w:gridSpan w:val="6"/>
            <w:shd w:val="clear" w:color="auto" w:fill="C0C0C0"/>
          </w:tcPr>
          <w:p>
            <w:pPr>
              <w:pStyle w:val="TableText"/>
              <w:spacing w:before="28" w:line="208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pacing w:val="-7"/>
                <w:sz w:val="24"/>
                <w:szCs w:val="24"/>
              </w:rPr>
              <w:t>曲靖供电局110kV变电站电力监控系统网络安全态势感知建设</w:t>
            </w:r>
            <w:r>
              <w:rPr>
                <w:rFonts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项目-过程量化指标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/>
        </w:trPr>
        <w:tc>
          <w:tcPr>
            <w:tcW w:w="494" w:type="dxa"/>
            <w:shd w:val="clear" w:color="auto" w:fill="C0C0C0"/>
            <w:textDirection w:val="tbRlV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sz="2" w:space="0" w:color="C0C0C0"/>
            </w:tcBorders>
            <w:shd w:val="clear" w:color="auto" w:fill="C0C0C0"/>
            <w:textDirection w:val="tbRlV"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sz="2" w:space="0" w:color="C0C0C0"/>
            </w:tcBorders>
            <w:shd w:val="clear" w:color="auto" w:fill="C0C0C0"/>
          </w:tcPr>
          <w:p>
            <w:pPr>
              <w:pStyle w:val="TableText"/>
              <w:spacing w:before="196" w:line="217" w:lineRule="auto"/>
              <w:ind w:left="491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sz="2" w:space="0" w:color="C0C0C0"/>
            </w:tcBorders>
            <w:shd w:val="clear" w:color="auto" w:fill="C0C0C0"/>
          </w:tcPr>
          <w:p>
            <w:pPr>
              <w:pStyle w:val="TableText"/>
              <w:spacing w:before="197" w:line="217" w:lineRule="auto"/>
              <w:ind w:left="1918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sz="2" w:space="0" w:color="C0C0C0"/>
            </w:tcBorders>
            <w:shd w:val="clear" w:color="auto" w:fill="C0C0C0"/>
          </w:tcPr>
          <w:p>
            <w:pPr>
              <w:pStyle w:val="TableText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>
            <w:pPr>
              <w:pStyle w:val="TableText"/>
              <w:spacing w:before="28" w:line="208" w:lineRule="auto"/>
              <w:ind w:left="216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sz="2" w:space="0" w:color="C0C0C0"/>
            </w:tcBorders>
            <w:shd w:val="clear" w:color="auto" w:fill="C0C0C0"/>
          </w:tcPr>
          <w:p>
            <w:pPr>
              <w:pStyle w:val="TableText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>
            <w:pPr>
              <w:pStyle w:val="TableText"/>
              <w:spacing w:before="28" w:line="208" w:lineRule="auto"/>
              <w:ind w:left="156" w:leftChars="0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5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</w:tcPr>
          <w:p>
            <w:pPr>
              <w:rPr>
                <w:lang w:val="en-US" w:eastAsia="en-US"/>
              </w:rPr>
            </w:pPr>
            <w:r>
              <w:rPr>
                <w:rFonts w:ascii="宋体" w:eastAsia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5" w:line="219" w:lineRule="auto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17" w:right="234" w:firstLine="21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5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5" w:line="218" w:lineRule="auto"/>
              <w:ind w:left="16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5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  <w:textDirection w:val="tbRlV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5" w:line="219" w:lineRule="auto"/>
              <w:ind w:left="39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17" w:right="234" w:firstLine="21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5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5" w:line="218" w:lineRule="auto"/>
              <w:ind w:left="16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8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  <w:shd w:val="clear" w:color="auto" w:fill="auto"/>
          </w:tcPr>
          <w:p>
            <w:pPr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81" w:line="239" w:lineRule="auto"/>
              <w:ind w:left="739" w:right="126" w:hanging="606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81" w:line="239" w:lineRule="auto"/>
              <w:ind w:left="117" w:right="234" w:leftChars="0" w:righ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8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7" w:line="219" w:lineRule="auto"/>
              <w:ind w:left="16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0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0" w:line="218" w:lineRule="auto"/>
              <w:ind w:left="133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3" w:line="239" w:lineRule="auto"/>
              <w:ind w:left="128" w:right="354" w:hanging="7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0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0" w:line="219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0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1" w:line="218" w:lineRule="auto"/>
              <w:ind w:left="373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5" w:line="239" w:lineRule="auto"/>
              <w:ind w:left="128" w:right="113" w:hanging="6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0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0" w:line="219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1" w:line="237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1" w:line="218" w:lineRule="auto"/>
              <w:ind w:left="397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231" w:line="218" w:lineRule="auto"/>
              <w:ind w:left="12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1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1" w:line="219" w:lineRule="auto"/>
              <w:ind w:left="16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4" w:line="238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4" w:line="219" w:lineRule="auto"/>
              <w:ind w:left="38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234" w:line="219" w:lineRule="auto"/>
              <w:ind w:left="125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4" w:line="219" w:lineRule="auto"/>
              <w:ind w:left="16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3" w:line="238" w:lineRule="auto"/>
              <w:ind w:left="425" w:hanging="425" w:lef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3" w:line="216" w:lineRule="auto"/>
              <w:ind w:left="380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233" w:line="216" w:lineRule="auto"/>
              <w:ind w:left="124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3" w:line="237" w:lineRule="auto"/>
              <w:ind w:left="16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3" w:line="219" w:lineRule="auto"/>
              <w:ind w:left="16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4" w:line="237" w:lineRule="auto"/>
              <w:ind w:left="425" w:hanging="425" w:leftChars="0" w:firstLineChars="0"/>
              <w:rPr>
                <w:rFonts w:eastAsia="宋体" w:hint="default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4" w:line="218" w:lineRule="auto"/>
              <w:ind w:left="137" w:leftChars="0"/>
              <w:rPr>
                <w:rFonts w:eastAsia="宋体" w:hint="default"/>
                <w:spacing w:val="-3"/>
                <w:sz w:val="24"/>
                <w:szCs w:val="24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eastAsia="宋体" w:hint="default"/>
                <w:spacing w:val="-4"/>
                <w:sz w:val="24"/>
                <w:szCs w:val="24"/>
                <w:lang w:val="en-US" w:eastAsia="zh-CN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4" w:line="237" w:lineRule="auto"/>
              <w:ind w:left="168" w:leftChars="0"/>
              <w:rPr>
                <w:rFonts w:eastAsia="宋体" w:hint="default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3" w:line="217" w:lineRule="auto"/>
              <w:ind w:left="158" w:leftChars="0"/>
              <w:rPr>
                <w:rFonts w:eastAsia="宋体" w:hint="default"/>
                <w:spacing w:val="-5"/>
                <w:sz w:val="24"/>
                <w:szCs w:val="24"/>
                <w:lang w:val="en-US" w:eastAsia="zh-CN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4" w:line="237" w:lineRule="auto"/>
              <w:ind w:left="425" w:hanging="425" w:leftChars="0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t>（约定服务时间-服务中断时间）/约定服务时间×100%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 w:hint="eastAsia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宋体" w:eastAsia="宋体" w:hAnsi="宋体" w:cs="宋体" w:hint="eastAsia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4" w:line="237" w:lineRule="auto"/>
              <w:ind w:left="425" w:hanging="425" w:leftChars="0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宋体" w:eastAsia="宋体" w:hAnsi="宋体" w:cs="宋体" w:hint="eastAsia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宋体" w:eastAsia="宋体" w:hAnsi="宋体" w:cs="宋体" w:hint="eastAsia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 w:hint="eastAsia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宋体" w:eastAsia="宋体" w:hAnsi="宋体" w:cs="宋体" w:hint="eastAsia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234" w:line="237" w:lineRule="auto"/>
              <w:ind w:left="425" w:hanging="425" w:leftChars="0" w:firstLineChars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>
        <w:tblPrEx>
          <w:tblW w:w="9430" w:type="dxa"/>
          <w:tblInd w:w="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/>
        </w:trPr>
        <w:tc>
          <w:tcPr>
            <w:tcW w:w="494" w:type="dxa"/>
            <w:shd w:val="clear" w:color="auto" w:fill="auto"/>
          </w:tcPr>
          <w:p>
            <w:pPr>
              <w:pStyle w:val="TableText"/>
              <w:numPr>
                <w:ilvl w:val="0"/>
                <w:numId w:val="2"/>
              </w:numPr>
              <w:spacing w:before="197" w:line="237" w:lineRule="auto"/>
              <w:ind w:left="425" w:hanging="425" w:leftChars="0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shd w:val="clear" w:color="auto" w:fill="auto"/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t>信息安全事件数量</w:t>
            </w:r>
          </w:p>
        </w:tc>
        <w:tc>
          <w:tcPr>
            <w:tcW w:w="4782" w:type="dxa"/>
            <w:shd w:val="clear" w:color="auto" w:fill="auto"/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t>全年信息安全事件发生数量</w:t>
            </w:r>
          </w:p>
        </w:tc>
        <w:tc>
          <w:tcPr>
            <w:tcW w:w="875" w:type="dxa"/>
            <w:shd w:val="clear" w:color="auto" w:fill="auto"/>
          </w:tcPr>
          <w:p>
            <w:pPr>
              <w:pStyle w:val="a1"/>
              <w:bidi w:val="0"/>
              <w:ind w:left="0" w:right="0" w:firstLine="0" w:leftChars="0" w:rightChars="0" w:firstLineChars="0"/>
              <w:jc w:val="both"/>
              <w:rPr>
                <w:rFonts w:eastAsia="宋体" w:hint="default"/>
                <w:lang w:val="en-US" w:eastAsia="zh-CN"/>
              </w:rPr>
            </w:pPr>
            <w:r>
              <w:t>0 次</w:t>
            </w:r>
          </w:p>
        </w:tc>
        <w:tc>
          <w:tcPr>
            <w:tcW w:w="767" w:type="dxa"/>
            <w:shd w:val="clear" w:color="auto" w:fill="auto"/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eastAsia"/>
                <w:lang w:val="en-US" w:eastAsia="zh-CN"/>
              </w:rPr>
            </w:pPr>
            <w:r>
              <w:t>年度</w:t>
            </w:r>
          </w:p>
        </w:tc>
      </w:tr>
    </w:tbl>
    <w:p>
      <w:pPr>
        <w:pStyle w:val="a1"/>
        <w:bidi w:val="0"/>
        <w:ind w:left="0" w:firstLine="0" w:leftChars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555</Words>
  <Characters>673</Characters>
  <Application>Microsoft Office Word</Application>
  <DocSecurity>0</DocSecurity>
  <Lines>0</Lines>
  <Paragraphs>0</Paragraphs>
  <ScaleCrop>false</ScaleCrop>
  <Company/>
  <LinksUpToDate>false</LinksUpToDate>
  <CharactersWithSpaces>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