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ind w:left="0" w:right="0" w:firstLine="0" w:leftChars="0" w:rightChars="0" w:firstLineChars="0"/>
        <w:jc w:val="center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曲靖供电局110kV变电站电力监控系统网络安全态势感知建设项目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扩容方案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right="0" w:firstLine="0" w:leftChars="0" w:rightChars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（HXDL-ITSS-0612）</w:t>
      </w:r>
    </w:p>
    <w:p>
      <w:pPr>
        <w:ind w:left="0" w:right="0" w:firstLine="0" w:leftChars="0" w:rightChars="0" w:firstLineChars="0"/>
        <w:jc w:val="center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4"/>
        <w:gridCol w:w="4095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984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赵川华</w:t>
            </w:r>
          </w:p>
        </w:tc>
        <w:tc>
          <w:tcPr>
            <w:tcW w:w="4095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984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095" w:type="dxa"/>
            <w:shd w:val="clear" w:color="auto" w:fill="auto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ascii="Arial" w:eastAsia="Arial" w:hAnsi="Arial" w:cs="Arial" w:hint="eastAsia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984" w:type="dxa"/>
          </w:tcPr>
          <w:p>
            <w:pPr>
              <w:widowControl w:val="0"/>
              <w:ind w:left="0" w:right="0" w:firstLine="0" w:leftChars="0" w:rightChars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095" w:type="dxa"/>
          </w:tcPr>
          <w:p>
            <w:pPr>
              <w:widowControl w:val="0"/>
              <w:ind w:left="0" w:right="0" w:firstLine="0" w:leftChars="0" w:rightChars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2025.08.07</w:t>
            </w: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spacing w:before="98" w:line="220" w:lineRule="auto"/>
        <w:ind w:left="3195"/>
        <w:outlineLvl w:val="0"/>
        <w:rPr>
          <w:rFonts w:ascii="宋体" w:eastAsia="宋体" w:hAnsi="宋体" w:cs="宋体"/>
          <w:sz w:val="30"/>
          <w:szCs w:val="30"/>
        </w:rPr>
      </w:pPr>
      <w:r>
        <w:rPr>
          <w:rFonts w:ascii="宋体" w:eastAsia="宋体" w:hAnsi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TableNormal0"/>
        <w:tblW w:w="9005" w:type="dxa"/>
        <w:tblInd w:w="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>
        <w:tblPrEx>
          <w:tblW w:w="9005" w:type="dxa"/>
          <w:tblInd w:w="34" w:type="dxa"/>
          <w:tblBorders>
            <w:top w:val="single" w:sz="6" w:space="0" w:color="000000"/>
            <w:left w:val="single" w:sz="6" w:space="0" w:color="000000"/>
            <w:bottom w:val="single" w:sz="6" w:space="0" w:color="000000"/>
            <w:right w:val="single" w:sz="6" w:space="0" w:color="000000"/>
            <w:insideH w:val="single" w:sz="6" w:space="0" w:color="000000"/>
            <w:insideV w:val="single" w:sz="6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/>
        </w:trPr>
        <w:tc>
          <w:tcPr>
            <w:tcW w:w="845" w:type="dxa"/>
            <w:vMerge w:val="restart"/>
            <w:tcBorders>
              <w:top w:val="single" w:sz="10" w:space="0" w:color="000000"/>
              <w:left w:val="single" w:sz="10" w:space="0" w:color="000000"/>
              <w:bottom w:val="nil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19" w:lineRule="auto"/>
              <w:ind w:left="172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52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19" w:lineRule="auto"/>
              <w:ind w:left="92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sz="10" w:space="0" w:color="000000"/>
            </w:tcBorders>
            <w:shd w:val="clear" w:color="auto" w:fill="D9D9D9"/>
          </w:tcPr>
          <w:p>
            <w:pPr>
              <w:spacing w:before="181" w:line="220" w:lineRule="auto"/>
              <w:ind w:left="91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sz="10" w:space="0" w:color="000000"/>
              <w:bottom w:val="nil"/>
              <w:right w:val="single" w:sz="10" w:space="0" w:color="000000"/>
            </w:tcBorders>
            <w:shd w:val="clear" w:color="auto" w:fill="D9D9D9"/>
          </w:tcPr>
          <w:p>
            <w:pPr>
              <w:spacing w:line="350" w:lineRule="auto"/>
              <w:rPr>
                <w:rFonts w:ascii="Arial"/>
                <w:sz w:val="21"/>
              </w:rPr>
            </w:pPr>
          </w:p>
          <w:p>
            <w:pPr>
              <w:spacing w:before="78" w:line="220" w:lineRule="auto"/>
              <w:ind w:left="21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/>
        </w:trPr>
        <w:tc>
          <w:tcPr>
            <w:tcW w:w="845" w:type="dxa"/>
            <w:vMerge/>
            <w:tcBorders>
              <w:top w:val="nil"/>
              <w:lef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>
            <w:pPr>
              <w:spacing w:before="177" w:line="220" w:lineRule="auto"/>
              <w:ind w:left="19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>
            <w:pPr>
              <w:spacing w:before="177" w:line="220" w:lineRule="auto"/>
              <w:ind w:left="43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>
            <w:pPr>
              <w:spacing w:before="177" w:line="220" w:lineRule="auto"/>
              <w:ind w:left="244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>
            <w:pPr>
              <w:spacing w:before="177" w:line="220" w:lineRule="auto"/>
              <w:ind w:left="487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>
            <w:pPr>
              <w:spacing w:before="176" w:line="221" w:lineRule="auto"/>
              <w:ind w:left="268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>
            <w:pPr>
              <w:spacing w:before="177" w:line="220" w:lineRule="auto"/>
              <w:ind w:left="441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/>
            <w:tcBorders>
              <w:top w:val="nil"/>
              <w:right w:val="single" w:sz="10" w:space="0" w:color="000000"/>
            </w:tcBorders>
          </w:tcPr>
          <w:p>
            <w:pPr>
              <w:rPr>
                <w:rFonts w:ascii="Arial"/>
                <w:sz w:val="21"/>
              </w:rPr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>
            <w:pPr>
              <w:pStyle w:val="TableText"/>
              <w:spacing w:before="230" w:line="219" w:lineRule="auto"/>
              <w:ind w:left="125"/>
            </w:pPr>
            <w:r>
              <w:rPr>
                <w:spacing w:val="-4"/>
              </w:rPr>
              <w:t>赵川华</w:t>
            </w:r>
          </w:p>
        </w:tc>
        <w:tc>
          <w:tcPr>
            <w:tcW w:w="1274" w:type="dxa"/>
          </w:tcPr>
          <w:p>
            <w:pPr>
              <w:pStyle w:val="TableText"/>
              <w:spacing w:before="230" w:line="237" w:lineRule="auto"/>
              <w:ind w:left="104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957" w:type="dxa"/>
          </w:tcPr>
          <w:p>
            <w:pPr>
              <w:pStyle w:val="TableText"/>
              <w:spacing w:before="230" w:line="219" w:lineRule="auto"/>
              <w:ind w:left="168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>
            <w:pPr>
              <w:pStyle w:val="TableText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017" w:type="dxa"/>
          </w:tcPr>
          <w:p>
            <w:pPr>
              <w:pStyle w:val="TableText"/>
              <w:spacing w:before="230" w:line="220" w:lineRule="auto"/>
              <w:ind w:left="202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>
            <w:pPr>
              <w:pStyle w:val="TableText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8</w:t>
            </w:r>
            <w:r>
              <w:rPr>
                <w:spacing w:val="-1"/>
              </w:rPr>
              <w:t>.7</w:t>
            </w: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/>
        </w:trPr>
        <w:tc>
          <w:tcPr>
            <w:tcW w:w="845" w:type="dxa"/>
            <w:tcBorders>
              <w:left w:val="single" w:sz="10" w:space="0" w:color="000000"/>
            </w:tcBorders>
          </w:tcPr>
          <w:p>
            <w:pPr>
              <w:pStyle w:val="TableText"/>
              <w:spacing w:before="152" w:line="237" w:lineRule="auto"/>
              <w:ind w:left="195"/>
            </w:pPr>
          </w:p>
        </w:tc>
        <w:tc>
          <w:tcPr>
            <w:tcW w:w="881" w:type="dxa"/>
          </w:tcPr>
          <w:p>
            <w:pPr>
              <w:pStyle w:val="TableText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>
            <w:pPr>
              <w:pStyle w:val="TableText"/>
              <w:spacing w:before="152" w:line="237" w:lineRule="auto"/>
              <w:ind w:left="210"/>
            </w:pPr>
          </w:p>
        </w:tc>
        <w:tc>
          <w:tcPr>
            <w:tcW w:w="957" w:type="dxa"/>
          </w:tcPr>
          <w:p>
            <w:pPr>
              <w:pStyle w:val="TableText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>
            <w:pPr>
              <w:pStyle w:val="TableText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>
            <w:pPr>
              <w:pStyle w:val="TableText"/>
              <w:spacing w:before="152" w:line="220" w:lineRule="auto"/>
              <w:ind w:left="202"/>
            </w:pPr>
          </w:p>
        </w:tc>
        <w:tc>
          <w:tcPr>
            <w:tcW w:w="1271" w:type="dxa"/>
          </w:tcPr>
          <w:p>
            <w:pPr>
              <w:pStyle w:val="TableText"/>
              <w:spacing w:before="152" w:line="237" w:lineRule="auto"/>
              <w:ind w:left="220"/>
            </w:pPr>
          </w:p>
        </w:tc>
        <w:tc>
          <w:tcPr>
            <w:tcW w:w="1383" w:type="dxa"/>
            <w:tcBorders>
              <w:right w:val="single" w:sz="10" w:space="0" w:color="000000"/>
            </w:tcBorders>
          </w:tcPr>
          <w:p>
            <w:pPr>
              <w:pStyle w:val="TableText"/>
              <w:spacing w:before="152" w:line="219" w:lineRule="auto"/>
              <w:ind w:left="436"/>
            </w:pPr>
          </w:p>
        </w:tc>
      </w:tr>
      <w:tr>
        <w:tblPrEx>
          <w:tblW w:w="9005" w:type="dxa"/>
          <w:tblInd w:w="34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/>
        </w:trPr>
        <w:tc>
          <w:tcPr>
            <w:tcW w:w="845" w:type="dxa"/>
            <w:tcBorders>
              <w:left w:val="single" w:sz="10" w:space="0" w:color="000000"/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20" w:lineRule="auto"/>
              <w:ind w:left="202"/>
            </w:pPr>
          </w:p>
        </w:tc>
        <w:tc>
          <w:tcPr>
            <w:tcW w:w="1271" w:type="dxa"/>
            <w:tcBorders>
              <w:bottom w:val="single" w:sz="10" w:space="0" w:color="000000"/>
            </w:tcBorders>
          </w:tcPr>
          <w:p>
            <w:pPr>
              <w:pStyle w:val="TableText"/>
              <w:spacing w:before="157" w:line="237" w:lineRule="auto"/>
              <w:ind w:left="220"/>
            </w:pPr>
          </w:p>
        </w:tc>
        <w:tc>
          <w:tcPr>
            <w:tcW w:w="1383" w:type="dxa"/>
            <w:tcBorders>
              <w:bottom w:val="single" w:sz="10" w:space="0" w:color="000000"/>
              <w:right w:val="single" w:sz="10" w:space="0" w:color="000000"/>
            </w:tcBorders>
          </w:tcPr>
          <w:p>
            <w:pPr>
              <w:pStyle w:val="TableText"/>
              <w:spacing w:before="157" w:line="219" w:lineRule="auto"/>
              <w:ind w:left="436"/>
            </w:pPr>
          </w:p>
        </w:tc>
      </w:tr>
    </w:tbl>
    <w:p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扩容背景与需求分析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根据《技术服务合同》（合同编号参照原合同）及项目前期实施情况，为确保“曲靖供电局110kV变电站电力监控系统网络安全态势感知系统”的稳定、高效运行，满足海量安全数据采集、实时分析、长期存储及未来功能扩展的需求，经对现有部署环境的初步评估，现有服务器资源在计算性能、存储容量或高可用性方面已接近或达到瓶颈。为保障项目核心目标的达成及系统的可持续运营，特制定本服务器专项扩容技术方案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本方案旨在明确服务器扩容的技术要求、配置建议、实施计划及验收标准，作为原合同技术服务范围的有效延伸和补充。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现状评估与扩容目标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当前态势感知系统已部署初步的服务器集群，可能包含数据采集器、分析引擎、数据库服务器、展示平台等角色。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随着接入变电站节点数量的增加、监测日志颗粒度的细化、以及高级威胁分析模型的启用，现有服务器在CPU处理能力、内存容量、磁盘I/O及存储空间方面面临压力。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在系统可靠性方面，可能存在单点故障风险，需通过扩容提升高可用性。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扩容核心目标：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性能提升： 显著提高安全事件实时处理与分析能力，降低系统响应延迟。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容量扩展： 满足未来1-3年内安全日志与事件数据的存储需求。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可靠性增强： 通过架构优化（如集群化、负载均衡、冗余部署），提升核心服务的可用性与容灾能力。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平滑扩展： 确保扩容过程对现有业务的影响最小化，实现平滑过渡。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扩容技术方案建议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建议采用“评估-设计-分阶段实施”的策略进行服务器扩容。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深度评估与方案设计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资源瓶颈诊断： 乙方对现有服务器集群进行为期X天的性能监控与分析，出具《现有服务器资源评估报告》，明确CPU、内存、磁盘、网络等维度的瓶颈点。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需求确认： 与甲方确认未来业务增长预测（如监测节点数、日志量、分析功能等）。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方案设计： 乙方提交《服务器扩容详细设计说明书》，包括：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扩容架构图： 明确新增服务器角色（如增量分析节点、分布式存储节点、备库服务器等）及其与现有架构的集成方式。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硬件配置清单： 推荐新增服务器的具体型号、CPU、内存、硬盘（SSD/HDD、RAID级别）、网卡等配置建议。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软件与许可： 列出所需的操作系统、虚拟化平台、集群软件等及相应许可建议。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高可用方案： 针对关键服务（如数据库、分析引擎）提出具体的高可用或集群实施方案。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设备采购与准备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由甲方或根据合同约定方负责按照双方确认的《硬件配置清单》进行采购。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乙方提供技术标准支持，并可协助到货验收。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安装、部署与集成实施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环境准备： 在甲方协调下，完成机房机柜空间、电力、网络布线等准备工作。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硬件上架与初始化： 乙方技术人员进行新增服务器的物理上架、硬件调试、固件升级、操作系统安装及基础网络配置。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软件部署与配置： 安装必要的系统软件、中间件及安全态势感知系统相关组件。按照设计方案配置集群、负载均衡、存储卷、备份策略等。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数据迁移与系统割接（如涉及）： 制定周密的数据迁移或服务切换计划，在业务低峰期执行，确保数据完整性与服务连续性。准备完备的回退方案。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系统联调与功能测试： 将扩容后的服务器集群与现有系统进行完整联调，验证性能提升效果、高可用切换功能及所有业务功能正常。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测试、优化与交付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性能压力测试： 模拟比当前高</w:t>
      </w:r>
      <w:r>
        <w:rPr>
          <w:rFonts w:hint="eastAsia"/>
          <w:lang w:val="en-US" w:eastAsia="zh-CN"/>
        </w:rPr>
        <w:t>20</w:t>
      </w:r>
      <w:bookmarkStart w:id="0" w:name="_GoBack"/>
      <w:bookmarkEnd w:id="0"/>
      <w:r>
        <w:rPr>
          <w:rFonts w:hint="eastAsia"/>
        </w:rPr>
        <w:t>%的业务负载，验证扩容后系统的整体处理能力、响应时间及稳定性是否达到设计目标。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系统优化： 根据测试结果，对系统参数、配置进行微调，以达到最佳性能。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文档交付： 乙方交付《服务器扩容实施报告》、《系统运维手册（更新版）》、《集群配置文档》等。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知识转移： 对甲方运维团队进行针对扩容后新架构、新功能的专项培训。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实施计划与工期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9"/>
        <w:gridCol w:w="1752"/>
        <w:gridCol w:w="1308"/>
        <w:gridCol w:w="1380"/>
        <w:gridCol w:w="2953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主要任务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预计工期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责任方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产出物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第一阶段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评估与设计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《评估报告》、《详细设计说明书》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二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设备采购与到货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4-6周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甲方/约定方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到货验收单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三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安装部署与集成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15个工作日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部署完成的系统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9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  <w:lang w:val="en-US" w:eastAsia="zh-CN"/>
              </w:rPr>
              <w:t>四</w:t>
            </w:r>
            <w:r>
              <w:rPr>
                <w:rFonts w:hint="eastAsia"/>
              </w:rPr>
              <w:t>阶段</w:t>
            </w:r>
          </w:p>
        </w:tc>
        <w:tc>
          <w:tcPr>
            <w:tcW w:w="1752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测试优化与交付</w:t>
            </w:r>
          </w:p>
        </w:tc>
        <w:tc>
          <w:tcPr>
            <w:tcW w:w="1308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10个工作日</w:t>
            </w:r>
          </w:p>
        </w:tc>
        <w:tc>
          <w:tcPr>
            <w:tcW w:w="1380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乙方</w:t>
            </w:r>
          </w:p>
        </w:tc>
        <w:tc>
          <w:tcPr>
            <w:tcW w:w="2953" w:type="dxa"/>
          </w:tcPr>
          <w:p>
            <w:pPr>
              <w:widowControl w:val="0"/>
              <w:rPr>
                <w:rFonts w:hint="eastAsia"/>
                <w:vertAlign w:val="baseline"/>
              </w:rPr>
            </w:pPr>
            <w:r>
              <w:rPr>
                <w:rFonts w:hint="eastAsia"/>
              </w:rPr>
              <w:t>《测试报告》、《实施报告》、更新文档</w:t>
            </w:r>
          </w:p>
        </w:tc>
      </w:tr>
    </w:tbl>
    <w:p>
      <w:pPr>
        <w:rPr>
          <w:rFonts w:hint="eastAsia"/>
        </w:rPr>
      </w:pP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双方责任与分工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甲方责任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提供扩容所需的机房环境、电力及网络条件。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负责或协调新增硬件设备的采购及到货。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指定项目协调人，配合乙方进行业务影响评估、割接窗口审批。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派员参与最终测试验收与培训。</w:t>
      </w:r>
    </w:p>
    <w:p>
      <w:pPr>
        <w:pStyle w:val="2"/>
        <w:bidi w:val="0"/>
        <w:rPr>
          <w:rFonts w:hint="eastAsia"/>
        </w:rPr>
      </w:pPr>
      <w:r>
        <w:rPr>
          <w:rFonts w:hint="eastAsia"/>
        </w:rPr>
        <w:t>乙方责任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完成全部技术评估、方案设计、安装部署、集成测试、文档编写及培训工作。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提供详细的技术配置要求清单。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制定并严格执行安全的割接与回退方案，确保甲方业务不受重大影响。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保证扩容实施符合原合同及行业相关技术标准。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验收标准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设计评审通过： 《服务器扩容详细设计说明书》经甲方书面确认。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实施完成确认： 所有硬件安装、软件部署、配置工作按设计方案完成。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性能达标： 通过压力测试，关键性能指标（如事件处理吞吐量、查询响应时间、存储IOPS等）达到或超过《详细设计说明书》中的承诺值。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功能与高可用验证：所有原有及新增功能正常运行；高可用集群切换测试成功，切换时间满足约定要求（如RTO&lt;30分钟，RPO&lt;5分钟）。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文档与培训完成： 全部约定文档交付齐全，甲方运维人员完成培训并具备基本操作能力。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费用估算建议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服务器扩容项目费用建议分为两部分：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硬件购置费： 根据最终确认的配置清单，由设备采购方承担。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技术服务费： 涵盖本方案中乙方承担的评估、设计、实施、测试、培训等全部技术服务。建议双方根据预估工作量（人天）及技术复杂度另行协商定价。</w:t>
      </w:r>
    </w:p>
    <w:p>
      <w:pPr>
        <w:pStyle w:val="1"/>
        <w:bidi w:val="0"/>
        <w:rPr>
          <w:rFonts w:hint="eastAsia"/>
        </w:rPr>
      </w:pPr>
      <w:r>
        <w:rPr>
          <w:rFonts w:hint="eastAsia"/>
        </w:rPr>
        <w:t>风险与应对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业务中断风险： 通过精细的割接计划、充分的预演及完备的回退方案控制。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兼容性风险： 新老硬件、软件版本间的兼容性在方案设计阶段进行充分验证。</w:t>
      </w:r>
    </w:p>
    <w:p>
      <w:pPr>
        <w:pStyle w:val="a1"/>
        <w:bidi w:val="0"/>
        <w:rPr>
          <w:rFonts w:hint="eastAsia"/>
        </w:rPr>
      </w:pPr>
      <w:r>
        <w:rPr>
          <w:rFonts w:hint="eastAsia"/>
        </w:rPr>
        <w:t>性能不达预期风险： 通过前期严谨的评估、中期的压力测试及后期的调优来规避。</w:t>
      </w:r>
    </w:p>
    <w:p>
      <w:pPr>
        <w:pStyle w:val="a1"/>
        <w:bidi w:val="0"/>
      </w:pPr>
      <w:r>
        <w:rPr>
          <w:rFonts w:hint="eastAsia"/>
        </w:rPr>
        <w:t>本方案为技术建议文件，待双方对扩容范围、技术路径、分工、费用及工期达成一致后，可签订补充协议或新合同予以正式确认。</w:t>
      </w:r>
    </w:p>
    <w:sectPr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A1879A8"/>
    <w:multiLevelType w:val="singleLevel"/>
    <w:tmpl w:val="AA1879A8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BE14ED0"/>
    <w:multiLevelType w:val="singleLevel"/>
    <w:tmpl w:val="1BE14ED0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bordersDoNotSurroundHeader/>
  <w:bordersDoNotSurroundFooter/>
  <w:doNotTrackMoves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2377</Words>
  <Characters>2490</Characters>
  <Application>Microsoft Office Word</Application>
  <DocSecurity>0</DocSecurity>
  <Lines>0</Lines>
  <Paragraphs>0</Paragraphs>
  <ScaleCrop>false</ScaleCrop>
  <Company/>
  <LinksUpToDate>false</LinksUpToDate>
  <CharactersWithSpaces>2520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郝宇</cp:lastModifiedBy>
  <cp:revision>0</cp:revision>
  <dcterms:created xsi:type="dcterms:W3CDTF">2025-09-06T12:49:00Z</dcterms:created>
  <dcterms:modified xsi:type="dcterms:W3CDTF">2025-12-23T23:58:41Z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