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2025年运维工具列表</w:t>
      </w:r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（HXDL-ITSS-0807）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2025.70.30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2025.70.30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2025.70.30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eastAsia="宋体" w:hAnsi="宋体" w:cs="宋体"/>
          <w:sz w:val="30"/>
          <w:szCs w:val="30"/>
        </w:rPr>
      </w:pPr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TableNormal0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48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172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8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82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num="1" w:space="425"/>
          <w:docGrid w:type="lines" w:linePitch="312" w:charSpace="0"/>
        </w:sectPr>
      </w:pPr>
      <w:r>
        <w:rPr>
          <w:rFonts w:hint="default"/>
          <w:lang w:val="en-US" w:eastAsia="zh-CN"/>
        </w:rPr>
        <w:br w:type="page"/>
      </w:r>
    </w:p>
    <w:tbl>
      <w:tblPr>
        <w:tblStyle w:val="TableNormal"/>
        <w:tblW w:w="130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05"/>
        <w:gridCol w:w="1764"/>
        <w:gridCol w:w="3600"/>
        <w:gridCol w:w="1272"/>
        <w:gridCol w:w="5596"/>
      </w:tblGrid>
      <w:tr>
        <w:tblPrEx>
          <w:tblW w:w="13037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序号</w:t>
            </w: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工具类别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名称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val="en-US" w:eastAsia="zh-CN"/>
              </w:rPr>
              <w:t>工具来源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val="en-US" w:eastAsia="zh-CN"/>
              </w:rPr>
              <w:t>应用情况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说明</w:t>
            </w:r>
          </w:p>
        </w:tc>
      </w:tr>
      <w:tr>
        <w:tblPrEx>
          <w:tblW w:w="13037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numPr>
                <w:ilvl w:val="0"/>
                <w:numId w:val="2"/>
              </w:numPr>
              <w:ind w:left="425" w:hanging="425" w:leftChars="0" w:firstLineChars="0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运维过程管理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3"/>
              <w:bidi w:val="0"/>
              <w:rPr>
                <w:rFonts w:ascii="宋体" w:eastAsia="宋体" w:hAnsi="宋体" w:cs="宋体" w:hint="eastAsia"/>
                <w:szCs w:val="21"/>
              </w:rPr>
            </w:pPr>
            <w:r>
              <w:t>智能一体化运维支撑平台SG-I6000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val="en-US" w:eastAsia="zh-CN"/>
              </w:rPr>
              <w:t>开源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78" w:line="241" w:lineRule="auto"/>
              <w:ind w:right="103" w:rightChars="0"/>
              <w:jc w:val="both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pacing w:val="7"/>
                <w:sz w:val="21"/>
                <w:szCs w:val="21"/>
                <w:lang w:val="en-US" w:eastAsia="zh-CN"/>
              </w:rPr>
              <w:t>通过使用</w:t>
            </w:r>
            <w:r>
              <w:rPr>
                <w:rFonts w:ascii="宋体" w:eastAsia="宋体" w:hAnsi="宋体" w:cs="宋体" w:hint="eastAsia"/>
                <w:spacing w:val="7"/>
                <w:sz w:val="21"/>
                <w:szCs w:val="21"/>
              </w:rPr>
              <w:t>智能一体化运维支撑平台 SG-I6000</w:t>
            </w:r>
            <w:r>
              <w:rPr>
                <w:rFonts w:ascii="宋体" w:eastAsia="宋体" w:hAnsi="宋体" w:cs="宋体" w:hint="eastAsia"/>
                <w:spacing w:val="7"/>
                <w:sz w:val="21"/>
                <w:szCs w:val="21"/>
                <w:lang w:val="en-US" w:eastAsia="zh-CN"/>
              </w:rPr>
              <w:t>的工单模块和任务模块</w:t>
            </w:r>
            <w:r>
              <w:rPr>
                <w:rFonts w:ascii="宋体" w:eastAsia="宋体" w:hAnsi="宋体" w:cs="宋体" w:hint="eastAsia"/>
                <w:spacing w:val="7"/>
                <w:sz w:val="21"/>
                <w:szCs w:val="21"/>
              </w:rPr>
              <w:t>实现了任务从创建、派发、处理到闭环的全流程数字化管理。通过可视化的流转看板与自动化规则，显著提升了协同效率，并确保每项运维任务可跟踪、可量化、可追溯。</w:t>
            </w:r>
          </w:p>
        </w:tc>
      </w:tr>
      <w:tr>
        <w:tblPrEx>
          <w:tblW w:w="13037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numPr>
                <w:ilvl w:val="0"/>
                <w:numId w:val="2"/>
              </w:numPr>
              <w:ind w:left="425" w:hanging="425" w:leftChars="0" w:firstLineChars="0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运维监控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信息系统性能监控工具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开源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78" w:line="241" w:lineRule="auto"/>
              <w:ind w:right="103" w:rightChars="0"/>
              <w:jc w:val="both"/>
              <w:rPr>
                <w:rFonts w:ascii="宋体" w:eastAsia="宋体" w:hAnsi="宋体" w:cs="宋体" w:hint="eastAsia"/>
                <w:spacing w:val="7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pacing w:val="7"/>
                <w:sz w:val="21"/>
                <w:szCs w:val="21"/>
              </w:rPr>
              <w:t>通过系统监控</w:t>
            </w:r>
            <w:r>
              <w:rPr>
                <w:rFonts w:ascii="宋体" w:eastAsia="宋体" w:hAnsi="宋体" w:cs="宋体" w:hint="eastAsia"/>
                <w:spacing w:val="7"/>
                <w:sz w:val="21"/>
                <w:szCs w:val="21"/>
                <w:lang w:val="en-US" w:eastAsia="zh-CN"/>
              </w:rPr>
              <w:t>工具</w:t>
            </w:r>
            <w:r>
              <w:rPr>
                <w:rFonts w:ascii="宋体" w:eastAsia="宋体" w:hAnsi="宋体" w:cs="宋体" w:hint="eastAsia"/>
                <w:spacing w:val="7"/>
                <w:sz w:val="21"/>
                <w:szCs w:val="21"/>
              </w:rPr>
              <w:t>可以及时了解系统的运行情况，在故障发生前进行预防，在故障发生后及时告警，同时也为系统的巡检提供了大量的数据依据，为系统的改进、完善打下了坚实的基础，同时缩短了系统故障发生的时长，使故障能够得到及时</w:t>
            </w:r>
            <w:r>
              <w:rPr>
                <w:rFonts w:ascii="宋体" w:eastAsia="宋体" w:hAnsi="宋体" w:cs="宋体" w:hint="eastAsia"/>
                <w:spacing w:val="7"/>
                <w:sz w:val="21"/>
                <w:szCs w:val="21"/>
                <w:lang w:val="en-US" w:eastAsia="zh-CN"/>
              </w:rPr>
              <w:t>处置</w:t>
            </w:r>
          </w:p>
        </w:tc>
      </w:tr>
      <w:tr>
        <w:tblPrEx>
          <w:tblW w:w="13037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numPr>
                <w:ilvl w:val="0"/>
                <w:numId w:val="2"/>
              </w:numPr>
              <w:ind w:left="425" w:hanging="425" w:leftChars="0" w:firstLineChars="0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rPr>
                <w:rFonts w:ascii="宋体" w:eastAsia="宋体" w:hAnsi="宋体" w:cs="宋体" w:hint="default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val="en-US" w:eastAsia="zh-CN"/>
              </w:rPr>
              <w:t>运维监控</w:t>
            </w:r>
            <w:bookmarkStart w:id="0" w:name="_GoBack"/>
            <w:bookmarkEnd w:id="0"/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val="en-US" w:eastAsia="zh-CN"/>
              </w:rPr>
              <w:t>物管平台-物联标志系统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val="en-US" w:eastAsia="zh-CN"/>
              </w:rPr>
              <w:t>自研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78" w:line="241" w:lineRule="auto"/>
              <w:ind w:right="103" w:rightChars="0"/>
              <w:jc w:val="both"/>
              <w:rPr>
                <w:rFonts w:ascii="宋体" w:eastAsia="宋体" w:hAnsi="宋体" w:cs="宋体" w:hint="eastAsia"/>
                <w:spacing w:val="7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pacing w:val="7"/>
                <w:sz w:val="21"/>
                <w:szCs w:val="21"/>
                <w:lang w:val="en-US" w:eastAsia="zh-CN"/>
              </w:rPr>
              <w:t>通过使用物管平台-物联标志系统</w:t>
            </w:r>
            <w:r>
              <w:rPr>
                <w:rFonts w:ascii="宋体" w:eastAsia="宋体" w:hAnsi="宋体" w:cs="宋体" w:hint="eastAsia"/>
                <w:spacing w:val="7"/>
                <w:sz w:val="21"/>
                <w:szCs w:val="21"/>
              </w:rPr>
              <w:t>依托云平台与数据中台，强化物联平台服务能力；以服务、运维及数据可视化技术驱动业务，支撑各业务系统与物联平台对接，提升终端运维管理效率。</w:t>
            </w:r>
          </w:p>
        </w:tc>
      </w:tr>
      <w:tr>
        <w:tblPrEx>
          <w:tblW w:w="13037" w:type="dxa"/>
          <w:jc w:val="center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numPr>
                <w:ilvl w:val="0"/>
                <w:numId w:val="2"/>
              </w:numPr>
              <w:ind w:left="425" w:hanging="425" w:leftChars="0" w:firstLineChars="0"/>
              <w:rPr>
                <w:rFonts w:ascii="宋体" w:eastAsia="宋体" w:hAnsi="宋体" w:cs="宋体" w:hint="eastAsia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运维监控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rPr>
                <w:rFonts w:ascii="宋体" w:eastAsia="宋体" w:hAnsi="宋体" w:cs="宋体" w:hint="default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val="en-US" w:eastAsia="zh-CN"/>
              </w:rPr>
              <w:t>隔离装置监控处置工具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val="en-US" w:eastAsia="zh-CN"/>
              </w:rPr>
              <w:t>自研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78" w:line="241" w:lineRule="auto"/>
              <w:ind w:right="103" w:rightChars="0"/>
              <w:jc w:val="both"/>
              <w:rPr>
                <w:rFonts w:ascii="宋体" w:eastAsia="宋体" w:hAnsi="宋体" w:cs="宋体" w:hint="eastAsia"/>
                <w:spacing w:val="7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pacing w:val="7"/>
                <w:sz w:val="21"/>
                <w:szCs w:val="21"/>
              </w:rPr>
              <w:t>解决隔离装置代理进程“SQLproxy”假死问题。该问题会导致微信公众号、外网门户等重要系统无法正常使用，且传统依赖人工重启的方式效率低下。本工具通过自动化监测与处置，5分钟内完成故障修复，大幅提升内外网业务系统运行可靠性，改善客户体验与工作效率。</w:t>
            </w:r>
          </w:p>
        </w:tc>
      </w:tr>
    </w:tbl>
    <w:p>
      <w:pPr>
        <w:pStyle w:val="a1"/>
        <w:bidi w:val="0"/>
        <w:ind w:left="0" w:firstLine="0" w:leftChars="0" w:firstLineChars="0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3DA1EA46"/>
    <w:multiLevelType w:val="singleLevel"/>
    <w:tmpl w:val="3DA1EA4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602</Words>
  <Characters>699</Characters>
  <Application>Microsoft Office Word</Application>
  <DocSecurity>0</DocSecurity>
  <Lines>0</Lines>
  <Paragraphs>0</Paragraphs>
  <ScaleCrop>false</ScaleCrop>
  <Company/>
  <LinksUpToDate>false</LinksUpToDate>
  <CharactersWithSpaces>700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2025-12-26T11:15:06Z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07FC051D12264F59A680B8B22651162F_13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