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2025年运维工具自评估报告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（HXDL-ITSS-0808）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2025.70.20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1172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</w:p>
    <w:p>
      <w:pPr>
        <w:bidi w:val="0"/>
        <w:rPr>
          <w:rFonts w:hint="default"/>
          <w:lang w:val="en-US" w:eastAsia="zh-CN"/>
        </w:rPr>
      </w:pPr>
    </w:p>
    <w:tbl>
      <w:tblPr>
        <w:tblStyle w:val="TableNormal00"/>
        <w:tblpPr w:leftFromText="180" w:rightFromText="180" w:vertAnchor="text" w:horzAnchor="page" w:tblpX="1426" w:tblpY="455"/>
        <w:tblOverlap w:val="never"/>
        <w:tblW w:w="14524" w:type="dxa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1887"/>
        <w:gridCol w:w="331"/>
        <w:gridCol w:w="3480"/>
        <w:gridCol w:w="1705"/>
        <w:gridCol w:w="3196"/>
        <w:gridCol w:w="1343"/>
      </w:tblGrid>
      <w:tr>
        <w:tblPrEx>
          <w:tblW w:w="14524" w:type="dxa"/>
          <w:tblInd w:w="0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/>
        </w:trPr>
        <w:tc>
          <w:tcPr>
            <w:tcW w:w="1275" w:type="dxa"/>
            <w:shd w:val="clear" w:color="auto" w:fill="E5E5E5"/>
          </w:tcPr>
          <w:p>
            <w:pPr>
              <w:spacing w:before="215" w:line="289" w:lineRule="auto"/>
              <w:ind w:left="538" w:right="110" w:hanging="422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6"/>
                <w:sz w:val="21"/>
                <w:szCs w:val="21"/>
              </w:rPr>
              <w:t>运维工具分</w:t>
            </w:r>
            <w:r>
              <w:rPr>
                <w:rFonts w:ascii="宋体" w:eastAsia="宋体" w:hAnsi="宋体" w:cs="宋体" w:hint="eastAsia"/>
                <w:b/>
                <w:bCs/>
                <w:spacing w:val="-2"/>
                <w:sz w:val="21"/>
                <w:szCs w:val="21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>
            <w:pPr>
              <w:pStyle w:val="TableText"/>
              <w:spacing w:line="303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65" w:line="229" w:lineRule="auto"/>
              <w:ind w:left="238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5"/>
                <w:sz w:val="21"/>
                <w:szCs w:val="21"/>
              </w:rPr>
              <w:t>工具名称</w:t>
            </w:r>
          </w:p>
        </w:tc>
        <w:tc>
          <w:tcPr>
            <w:tcW w:w="1887" w:type="dxa"/>
            <w:shd w:val="clear" w:color="auto" w:fill="E5E5E5"/>
          </w:tcPr>
          <w:p>
            <w:pPr>
              <w:spacing w:before="214" w:line="229" w:lineRule="auto"/>
              <w:ind w:left="528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6"/>
                <w:sz w:val="21"/>
                <w:szCs w:val="21"/>
              </w:rPr>
              <w:t>主要功能</w:t>
            </w:r>
          </w:p>
          <w:p>
            <w:pPr>
              <w:spacing w:before="63" w:line="228" w:lineRule="auto"/>
              <w:ind w:left="121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4"/>
                <w:sz w:val="21"/>
                <w:szCs w:val="21"/>
              </w:rPr>
              <w:t>（关键功能说明）</w:t>
            </w:r>
          </w:p>
        </w:tc>
        <w:tc>
          <w:tcPr>
            <w:tcW w:w="3811" w:type="dxa"/>
            <w:gridSpan w:val="2"/>
            <w:shd w:val="clear" w:color="auto" w:fill="E5E5E5"/>
          </w:tcPr>
          <w:p>
            <w:pPr>
              <w:spacing w:before="214" w:line="228" w:lineRule="auto"/>
              <w:ind w:left="1139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6"/>
                <w:sz w:val="21"/>
                <w:szCs w:val="21"/>
              </w:rPr>
              <w:t>使用情况说明</w:t>
            </w:r>
          </w:p>
          <w:p>
            <w:pPr>
              <w:spacing w:before="64" w:line="228" w:lineRule="auto"/>
              <w:ind w:left="514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6"/>
                <w:sz w:val="21"/>
                <w:szCs w:val="21"/>
              </w:rPr>
              <w:t>（工具使用的客户及项目）</w:t>
            </w:r>
          </w:p>
        </w:tc>
        <w:tc>
          <w:tcPr>
            <w:tcW w:w="1705" w:type="dxa"/>
            <w:shd w:val="clear" w:color="auto" w:fill="E5E5E5"/>
          </w:tcPr>
          <w:p>
            <w:pPr>
              <w:spacing w:before="58" w:line="228" w:lineRule="auto"/>
              <w:ind w:left="579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5"/>
                <w:sz w:val="21"/>
                <w:szCs w:val="21"/>
              </w:rPr>
              <w:t>工具来源</w:t>
            </w:r>
          </w:p>
          <w:p>
            <w:pPr>
              <w:spacing w:before="66" w:line="263" w:lineRule="auto"/>
              <w:ind w:left="113" w:right="18" w:firstLine="50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1"/>
                <w:sz w:val="21"/>
                <w:szCs w:val="21"/>
              </w:rPr>
              <w:t>（开源工具、</w:t>
            </w:r>
            <w:r>
              <w:rPr>
                <w:rFonts w:ascii="宋体" w:eastAsia="宋体" w:hAnsi="宋体" w:cs="宋体" w:hint="eastAsia"/>
                <w:spacing w:val="-44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bCs/>
                <w:spacing w:val="-1"/>
                <w:sz w:val="21"/>
                <w:szCs w:val="21"/>
              </w:rPr>
              <w:t>自主</w:t>
            </w:r>
            <w:r>
              <w:rPr>
                <w:rFonts w:ascii="宋体" w:eastAsia="宋体" w:hAnsi="宋体" w:cs="宋体" w:hint="eastAsia"/>
                <w:b/>
                <w:bCs/>
                <w:spacing w:val="3"/>
                <w:sz w:val="21"/>
                <w:szCs w:val="21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>
            <w:pPr>
              <w:pStyle w:val="TableText"/>
              <w:spacing w:line="303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65" w:line="226" w:lineRule="auto"/>
              <w:ind w:left="761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7"/>
                <w:sz w:val="21"/>
                <w:szCs w:val="21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>
            <w:pPr>
              <w:spacing w:before="215" w:line="290" w:lineRule="auto"/>
              <w:ind w:left="476" w:right="302" w:hanging="169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4"/>
                <w:sz w:val="21"/>
                <w:szCs w:val="21"/>
              </w:rPr>
              <w:t>评价人/</w:t>
            </w:r>
            <w:r>
              <w:rPr>
                <w:rFonts w:ascii="宋体" w:eastAsia="宋体" w:hAnsi="宋体" w:cs="宋体" w:hint="eastAsia"/>
                <w:b/>
                <w:bCs/>
                <w:spacing w:val="-1"/>
                <w:sz w:val="21"/>
                <w:szCs w:val="21"/>
              </w:rPr>
              <w:t>时间</w:t>
            </w:r>
          </w:p>
        </w:tc>
      </w:tr>
      <w:tr>
        <w:tblPrEx>
          <w:tblW w:w="14524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/>
        </w:trPr>
        <w:tc>
          <w:tcPr>
            <w:tcW w:w="1275" w:type="dxa"/>
          </w:tcPr>
          <w:p>
            <w:pPr>
              <w:pStyle w:val="TableText"/>
              <w:spacing w:line="26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43" w:lineRule="auto"/>
              <w:ind w:left="404" w:right="154" w:hanging="241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5"/>
                <w:sz w:val="21"/>
                <w:szCs w:val="21"/>
              </w:rPr>
              <w:t>过程管理</w:t>
            </w:r>
            <w:r>
              <w:rPr>
                <w:rFonts w:ascii="宋体" w:eastAsia="宋体" w:hAnsi="宋体" w:cs="宋体" w:hint="eastAsia"/>
                <w:b/>
                <w:bCs/>
                <w:spacing w:val="-9"/>
                <w:sz w:val="21"/>
                <w:szCs w:val="21"/>
              </w:rPr>
              <w:t>工具</w:t>
            </w:r>
          </w:p>
        </w:tc>
        <w:tc>
          <w:tcPr>
            <w:tcW w:w="1307" w:type="dxa"/>
          </w:tcPr>
          <w:p>
            <w:pPr>
              <w:pStyle w:val="TableText"/>
              <w:spacing w:line="296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97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97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line="219" w:lineRule="auto"/>
              <w:ind w:left="184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智能一体化运维支撑平台 SG-I6000</w:t>
            </w:r>
          </w:p>
        </w:tc>
        <w:tc>
          <w:tcPr>
            <w:tcW w:w="1887" w:type="dxa"/>
          </w:tcPr>
          <w:p>
            <w:pPr>
              <w:spacing w:before="39" w:line="236" w:lineRule="auto"/>
              <w:ind w:left="111" w:right="103" w:firstLine="2"/>
              <w:jc w:val="both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集产品管理、项目管理、质量管理、文档管理、组织管理和事务管理于一体，是一款功能完备的项目管理软件</w:t>
            </w:r>
          </w:p>
        </w:tc>
        <w:tc>
          <w:tcPr>
            <w:tcW w:w="3811" w:type="dxa"/>
            <w:gridSpan w:val="2"/>
          </w:tcPr>
          <w:p>
            <w:pPr>
              <w:spacing w:before="78" w:line="234" w:lineRule="auto"/>
              <w:ind w:left="580" w:right="107" w:hanging="455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2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 8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>
            <w:pPr>
              <w:spacing w:before="14" w:line="236" w:lineRule="auto"/>
              <w:ind w:left="580" w:right="107" w:hanging="455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5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 10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>
            <w:pPr>
              <w:spacing w:before="10" w:line="235" w:lineRule="auto"/>
              <w:ind w:left="538" w:right="107" w:hanging="413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6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12"/>
                          <pic:cNvPicPr/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</w:tcPr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20" w:lineRule="auto"/>
              <w:ind w:left="560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开源工具</w:t>
            </w:r>
          </w:p>
        </w:tc>
        <w:tc>
          <w:tcPr>
            <w:tcW w:w="3196" w:type="dxa"/>
          </w:tcPr>
          <w:p>
            <w:pPr>
              <w:spacing w:before="40" w:line="237" w:lineRule="auto"/>
              <w:ind w:right="103"/>
              <w:jc w:val="both"/>
              <w:rPr>
                <w:rFonts w:ascii="宋体" w:eastAsia="宋体" w:hAnsi="宋体" w:cs="宋体" w:hint="eastAsia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  <w:lang w:val="en-US" w:eastAsia="zh-CN"/>
              </w:rPr>
              <w:t>通过使用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  <w:t>智能一体化运维支撑平台 SG-I6000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  <w:lang w:val="en-US" w:eastAsia="zh-CN"/>
              </w:rPr>
              <w:t>的工单模块和任务模块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  <w:t>实现了任务从创建、派发、处理到闭环的全流程数字化管理。通过可视化的流转看板与自动化规则，显著提升了协同效率，并确保每项运维任务可跟踪、可量化、可追溯。</w:t>
            </w:r>
          </w:p>
        </w:tc>
        <w:tc>
          <w:tcPr>
            <w:tcW w:w="1343" w:type="dxa"/>
          </w:tcPr>
          <w:p>
            <w:pPr>
              <w:pStyle w:val="TableText"/>
              <w:spacing w:line="261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>
            <w:pPr>
              <w:pStyle w:val="TableText"/>
              <w:spacing w:line="261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>
            <w:pPr>
              <w:spacing w:before="26" w:line="239" w:lineRule="auto"/>
              <w:ind w:left="120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  <w:t>赵川华2025.7</w:t>
            </w:r>
            <w:r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  <w:t>0</w:t>
            </w:r>
            <w:r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  <w:t>.</w:t>
            </w:r>
            <w:r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  <w:t>20</w:t>
            </w:r>
          </w:p>
        </w:tc>
      </w:tr>
      <w:tr>
        <w:tblPrEx>
          <w:tblW w:w="14524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/>
        </w:trPr>
        <w:tc>
          <w:tcPr>
            <w:tcW w:w="1275" w:type="dxa"/>
          </w:tcPr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20" w:lineRule="auto"/>
              <w:ind w:left="163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5"/>
                <w:sz w:val="21"/>
                <w:szCs w:val="21"/>
              </w:rPr>
              <w:t>监控工具</w:t>
            </w:r>
          </w:p>
        </w:tc>
        <w:tc>
          <w:tcPr>
            <w:tcW w:w="1307" w:type="dxa"/>
          </w:tcPr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42" w:lineRule="auto"/>
              <w:ind w:left="179" w:right="119" w:hanging="73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信息系统性能监控工具</w:t>
            </w:r>
          </w:p>
        </w:tc>
        <w:tc>
          <w:tcPr>
            <w:tcW w:w="1887" w:type="dxa"/>
          </w:tcPr>
          <w:p>
            <w:pPr>
              <w:spacing w:before="39" w:line="236" w:lineRule="auto"/>
              <w:ind w:right="103"/>
              <w:jc w:val="both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对应用系统的运行状态、运行性能情况进行7x24小时实时监控，及时发现故障，并根据策略进行报警</w:t>
            </w:r>
          </w:p>
        </w:tc>
        <w:tc>
          <w:tcPr>
            <w:tcW w:w="3811" w:type="dxa"/>
            <w:gridSpan w:val="2"/>
          </w:tcPr>
          <w:p>
            <w:pPr>
              <w:pStyle w:val="TableText"/>
              <w:spacing w:line="418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34" w:lineRule="auto"/>
              <w:ind w:left="580" w:right="107" w:hanging="455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>
            <w:pPr>
              <w:spacing w:before="14" w:line="236" w:lineRule="auto"/>
              <w:ind w:left="580" w:right="107" w:hanging="455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3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 10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>
            <w:pPr>
              <w:spacing w:before="12" w:line="234" w:lineRule="auto"/>
              <w:ind w:left="118" w:right="107" w:firstLine="6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4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12"/>
                          <pic:cNvPicPr/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</w:tcPr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21" w:lineRule="auto"/>
              <w:ind w:left="521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21"/>
                <w:szCs w:val="21"/>
              </w:rPr>
              <w:t>开源工具</w:t>
            </w:r>
          </w:p>
        </w:tc>
        <w:tc>
          <w:tcPr>
            <w:tcW w:w="3196" w:type="dxa"/>
          </w:tcPr>
          <w:p>
            <w:pPr>
              <w:spacing w:before="40" w:line="237" w:lineRule="auto"/>
              <w:ind w:left="115" w:right="103"/>
              <w:jc w:val="both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  <w:t>通过系统监控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  <w:lang w:val="en-US" w:eastAsia="zh-CN"/>
              </w:rPr>
              <w:t>工具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  <w:t>可以及时了解系统的运行情况，在故障发生前进行预防，在故障发生后及时告警，同时也为系统的巡检提供了大量的数据依据，为系统的改进、完善打下了坚实的基础，同时</w:t>
            </w:r>
            <w:r>
              <w:rPr>
                <w:rFonts w:ascii="宋体" w:eastAsia="宋体" w:hAnsi="宋体" w:cs="宋体" w:hint="eastAsia"/>
                <w:spacing w:val="30"/>
                <w:sz w:val="21"/>
                <w:szCs w:val="21"/>
              </w:rPr>
              <w:t>缩短了系统故障发生的时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  <w:t>长，使故障能够得到及时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  <w:lang w:val="en-US" w:eastAsia="zh-CN"/>
              </w:rPr>
              <w:t>处置</w:t>
            </w:r>
          </w:p>
        </w:tc>
        <w:tc>
          <w:tcPr>
            <w:tcW w:w="1343" w:type="dxa"/>
          </w:tcPr>
          <w:p>
            <w:pPr>
              <w:pStyle w:val="TableText"/>
              <w:spacing w:line="26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26" w:line="239" w:lineRule="auto"/>
              <w:ind w:left="120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4"/>
                <w:sz w:val="21"/>
                <w:szCs w:val="21"/>
              </w:rPr>
              <w:t>赵川华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</w:rPr>
              <w:t>2025.7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0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</w:rPr>
              <w:t>.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  <w:tr>
        <w:tblPrEx>
          <w:tblW w:w="14524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/>
        </w:trPr>
        <w:tc>
          <w:tcPr>
            <w:tcW w:w="1275" w:type="dxa"/>
            <w:shd w:val="clear" w:color="auto" w:fill="auto"/>
          </w:tcPr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20" w:lineRule="auto"/>
              <w:ind w:left="163" w:leftChars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5"/>
                <w:sz w:val="21"/>
                <w:szCs w:val="21"/>
              </w:rPr>
              <w:t>监控工具</w:t>
            </w:r>
            <w:bookmarkStart w:id="0" w:name="_GoBack"/>
            <w:bookmarkEnd w:id="0"/>
          </w:p>
        </w:tc>
        <w:tc>
          <w:tcPr>
            <w:tcW w:w="1307" w:type="dxa"/>
            <w:shd w:val="clear" w:color="auto" w:fill="auto"/>
          </w:tcPr>
          <w:p>
            <w:pPr>
              <w:spacing w:before="78" w:line="242" w:lineRule="auto"/>
              <w:ind w:left="179" w:right="119" w:hanging="73"/>
              <w:rPr>
                <w:rFonts w:ascii="宋体" w:eastAsia="宋体" w:hAnsi="宋体" w:cs="宋体" w:hint="eastAsia"/>
                <w:sz w:val="21"/>
                <w:szCs w:val="21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物管平台-物联标志系统</w:t>
            </w:r>
          </w:p>
        </w:tc>
        <w:tc>
          <w:tcPr>
            <w:tcW w:w="2218" w:type="dxa"/>
            <w:gridSpan w:val="2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核心模块包括标识管理、标识数据统计、数据同步、系统管理（用户/组织/菜单/角色管理）及移动应用，实现物联网设备全生命周期管理与数据服务</w:t>
            </w:r>
          </w:p>
        </w:tc>
        <w:tc>
          <w:tcPr>
            <w:tcW w:w="3480" w:type="dxa"/>
            <w:shd w:val="clear" w:color="auto" w:fill="auto"/>
          </w:tcPr>
          <w:p>
            <w:pPr>
              <w:pStyle w:val="TableText"/>
              <w:spacing w:line="418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34" w:lineRule="auto"/>
              <w:ind w:left="580" w:right="107" w:hanging="455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 8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>
            <w:pPr>
              <w:spacing w:before="14" w:line="236" w:lineRule="auto"/>
              <w:ind w:left="580" w:right="107" w:hanging="455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2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 10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>
            <w:pPr>
              <w:spacing w:before="12" w:line="234" w:lineRule="auto"/>
              <w:ind w:left="118" w:right="107" w:firstLine="6" w:leftChars="0" w:rightChars="0" w:firstLineChars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 12"/>
                          <pic:cNvPicPr/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  <w:shd w:val="clear" w:color="auto" w:fill="auto"/>
          </w:tcPr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21" w:lineRule="auto"/>
              <w:ind w:left="521" w:leftChars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3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3196" w:type="dxa"/>
            <w:shd w:val="clear" w:color="auto" w:fill="auto"/>
          </w:tcPr>
          <w:p>
            <w:pPr>
              <w:pStyle w:val="a1"/>
              <w:bidi w:val="0"/>
              <w:ind w:left="0" w:firstLine="0" w:leftChars="0" w:firstLineChars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通过使用物管平台-物联标志系统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依托云平台与数据中台，强化物联平台服务能力；以服务、运维及数据可视化技术驱动业务，支撑各业务系统与物联平台对接，提升终端运维管理效率。</w:t>
            </w:r>
          </w:p>
        </w:tc>
        <w:tc>
          <w:tcPr>
            <w:tcW w:w="1343" w:type="dxa"/>
            <w:shd w:val="clear" w:color="auto" w:fill="auto"/>
          </w:tcPr>
          <w:p>
            <w:pPr>
              <w:pStyle w:val="TableText"/>
              <w:spacing w:line="26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26" w:line="239" w:lineRule="auto"/>
              <w:ind w:left="120" w:leftChars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4"/>
                <w:sz w:val="21"/>
                <w:szCs w:val="21"/>
              </w:rPr>
              <w:t>赵川华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</w:rPr>
              <w:t>2025.7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0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</w:rPr>
              <w:t>.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  <w:tr>
        <w:tblPrEx>
          <w:tblW w:w="14524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/>
        </w:trPr>
        <w:tc>
          <w:tcPr>
            <w:tcW w:w="1275" w:type="dxa"/>
            <w:shd w:val="clear" w:color="auto" w:fill="auto"/>
          </w:tcPr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20" w:lineRule="auto"/>
              <w:ind w:left="163" w:leftChars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5"/>
                <w:sz w:val="21"/>
                <w:szCs w:val="21"/>
              </w:rPr>
              <w:t>监控工具</w:t>
            </w:r>
          </w:p>
        </w:tc>
        <w:tc>
          <w:tcPr>
            <w:tcW w:w="1307" w:type="dxa"/>
            <w:shd w:val="clear" w:color="auto" w:fill="auto"/>
          </w:tcPr>
          <w:p>
            <w:pPr>
              <w:spacing w:before="78" w:line="242" w:lineRule="auto"/>
              <w:ind w:left="179" w:right="119" w:hanging="73"/>
              <w:rPr>
                <w:rFonts w:ascii="宋体" w:eastAsia="宋体" w:hAnsi="宋体" w:cs="宋体" w:hint="eastAsia"/>
                <w:sz w:val="21"/>
                <w:szCs w:val="21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隔离装置监控处置工具</w:t>
            </w:r>
          </w:p>
        </w:tc>
        <w:tc>
          <w:tcPr>
            <w:tcW w:w="2218" w:type="dxa"/>
            <w:gridSpan w:val="2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实现隔离装置代理数据库可用性探测</w:t>
            </w:r>
          </w:p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对探测失败的隔离装置代理进程自动重启</w:t>
            </w:r>
          </w:p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记录并在监控页面展示探测失败日志</w:t>
            </w:r>
          </w:p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支持短信及邮件告警功能，及时推送故障信息</w:t>
            </w:r>
          </w:p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具备日志审计能力，确保所有操作可追溯</w:t>
            </w:r>
          </w:p>
        </w:tc>
        <w:tc>
          <w:tcPr>
            <w:tcW w:w="3480" w:type="dxa"/>
            <w:shd w:val="clear" w:color="auto" w:fill="auto"/>
          </w:tcPr>
          <w:p>
            <w:pPr>
              <w:pStyle w:val="TableText"/>
              <w:spacing w:line="418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34" w:lineRule="auto"/>
              <w:ind w:left="580" w:right="107" w:hanging="455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7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 8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>
            <w:pPr>
              <w:spacing w:before="14" w:line="236" w:lineRule="auto"/>
              <w:ind w:left="580" w:right="107" w:hanging="455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8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 10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>
            <w:pPr>
              <w:spacing w:before="12" w:line="234" w:lineRule="auto"/>
              <w:ind w:left="118" w:right="107" w:firstLine="6" w:leftChars="0" w:rightChars="0" w:firstLineChars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9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 12"/>
                          <pic:cNvPicPr/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  <w:shd w:val="clear" w:color="auto" w:fill="auto"/>
          </w:tcPr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4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78" w:line="221" w:lineRule="auto"/>
              <w:ind w:left="521" w:leftChars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3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3196" w:type="dxa"/>
            <w:shd w:val="clear" w:color="auto" w:fill="auto"/>
          </w:tcPr>
          <w:p>
            <w:pPr>
              <w:pStyle w:val="a1"/>
              <w:bidi w:val="0"/>
              <w:ind w:left="0" w:firstLine="0" w:leftChars="0" w:firstLineChars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      </w:r>
          </w:p>
        </w:tc>
        <w:tc>
          <w:tcPr>
            <w:tcW w:w="1343" w:type="dxa"/>
            <w:shd w:val="clear" w:color="auto" w:fill="auto"/>
          </w:tcPr>
          <w:p>
            <w:pPr>
              <w:pStyle w:val="TableText"/>
              <w:spacing w:line="261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pStyle w:val="TableText"/>
              <w:spacing w:line="262" w:lineRule="auto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  <w:p>
            <w:pPr>
              <w:spacing w:before="26" w:line="239" w:lineRule="auto"/>
              <w:ind w:left="120" w:leftChars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4"/>
                <w:sz w:val="21"/>
                <w:szCs w:val="21"/>
              </w:rPr>
              <w:t>赵川华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</w:rPr>
              <w:t>2025.7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0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</w:rPr>
              <w:t>.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</w:tbl>
    <w:p>
      <w:pPr>
        <w:bidi w:val="0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1160</Words>
  <Characters>1328</Characters>
  <Application>Microsoft Office Word</Application>
  <DocSecurity>0</DocSecurity>
  <Lines>0</Lines>
  <Paragraphs>0</Paragraphs>
  <ScaleCrop>false</ScaleCrop>
  <Company/>
  <LinksUpToDate>false</LinksUpToDate>
  <CharactersWithSpaces>1331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2025-12-26T11:14:45Z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07FC051D12264F59A680B8B22651162F_13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