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8300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12543"/>
      <w:r>
        <w:rPr>
          <w:rFonts w:hint="eastAsia"/>
          <w:lang w:val="en-US" w:eastAsia="zh-CN"/>
        </w:rPr>
        <w:t>2025年运维工具应用情况说明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3709"/>
      <w:r>
        <w:rPr>
          <w:rFonts w:hint="eastAsia"/>
          <w:lang w:val="en-US" w:eastAsia="zh-CN"/>
        </w:rPr>
        <w:t>（HXDL-ITSS-0809）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20753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05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bookmarkStart w:id="4" w:name="_Toc4505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_Toc28300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_Toc28300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2025年运维工具应用情况说明</w:t>
          </w:r>
          <w:r>
            <w:tab/>
          </w:r>
          <w:r>
            <w:fldChar w:fldCharType="begin"/>
          </w:r>
          <w:r>
            <w:instrText xml:space="preserve"> PAGEREF _Toc12543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（HXDL-ITSS-0809）</w:t>
          </w:r>
          <w:r>
            <w:tab/>
          </w:r>
          <w:r>
            <w:fldChar w:fldCharType="begin"/>
          </w:r>
          <w:r>
            <w:instrText xml:space="preserve"> PAGEREF _Toc23709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_Toc20753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_Toc20753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运维工具列表</w:t>
          </w:r>
          <w:r>
            <w:tab/>
          </w:r>
          <w:r>
            <w:fldChar w:fldCharType="begin"/>
          </w:r>
          <w:r>
            <w:instrText xml:space="preserve"> PAGEREF _Toc23871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运维工具应用情况</w:t>
          </w:r>
          <w:r>
            <w:tab/>
          </w:r>
          <w:r>
            <w:fldChar w:fldCharType="begin"/>
          </w:r>
          <w:r>
            <w:instrText xml:space="preserve"> PAGEREF _Toc19915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过程管理工具-</w:t>
          </w:r>
          <w:r>
            <w:t>智能一体化运维支撑平台 SG-I6000</w:t>
          </w:r>
          <w:r>
            <w:tab/>
          </w:r>
          <w:r>
            <w:fldChar w:fldCharType="begin"/>
          </w:r>
          <w:r>
            <w:instrText xml:space="preserve"> PAGEREF _Toc2004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名称</w:t>
          </w:r>
          <w:r>
            <w:tab/>
          </w:r>
          <w:r>
            <w:fldChar w:fldCharType="begin"/>
          </w:r>
          <w:r>
            <w:instrText xml:space="preserve"> PAGEREF _Toc5597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来源</w:t>
          </w:r>
          <w:r>
            <w:tab/>
          </w:r>
          <w:r>
            <w:fldChar w:fldCharType="begin"/>
          </w:r>
          <w:r>
            <w:instrText xml:space="preserve"> PAGEREF _Toc22977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软件特色</w:t>
          </w:r>
          <w:r>
            <w:tab/>
          </w:r>
          <w:r>
            <w:fldChar w:fldCharType="begin"/>
          </w:r>
          <w:r>
            <w:instrText xml:space="preserve"> PAGEREF _Toc7369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2.1.4. </w:t>
          </w:r>
          <w:r>
            <w:rPr>
              <w:rFonts w:hint="eastAsia"/>
              <w:lang w:val="en-US" w:eastAsia="zh-CN"/>
            </w:rPr>
            <w:t>应用情况说明</w:t>
          </w:r>
          <w:r>
            <w:tab/>
          </w:r>
          <w:r>
            <w:fldChar w:fldCharType="begin"/>
          </w:r>
          <w:r>
            <w:instrText xml:space="preserve"> PAGEREF _Toc23940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2.1.5. </w:t>
          </w:r>
          <w:r>
            <w:rPr>
              <w:rFonts w:hint="eastAsia"/>
              <w:lang w:val="en-US" w:eastAsia="zh-CN"/>
            </w:rPr>
            <w:t>主要功能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监控工具-信息系统性能监控工具</w:t>
          </w:r>
          <w:r>
            <w:tab/>
          </w:r>
          <w:r>
            <w:fldChar w:fldCharType="begin"/>
          </w:r>
          <w:r>
            <w:instrText xml:space="preserve"> PAGEREF _Toc17325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名称</w:t>
          </w:r>
          <w:r>
            <w:tab/>
          </w:r>
          <w:r>
            <w:fldChar w:fldCharType="begin"/>
          </w:r>
          <w:r>
            <w:instrText xml:space="preserve"> PAGEREF _Toc12996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来源</w:t>
          </w:r>
          <w:r>
            <w:tab/>
          </w:r>
          <w:r>
            <w:fldChar w:fldCharType="begin"/>
          </w:r>
          <w:r>
            <w:instrText xml:space="preserve"> PAGEREF _Toc17567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软件特色</w:t>
          </w:r>
          <w:r>
            <w:tab/>
          </w:r>
          <w:r>
            <w:fldChar w:fldCharType="begin"/>
          </w:r>
          <w:r>
            <w:instrText xml:space="preserve"> PAGEREF _Toc32472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2.2.4. </w:t>
          </w:r>
          <w:r>
            <w:rPr>
              <w:rFonts w:hint="eastAsia"/>
              <w:lang w:val="en-US" w:eastAsia="zh-CN"/>
            </w:rPr>
            <w:t>应用情况说明</w:t>
          </w:r>
          <w:r>
            <w:tab/>
          </w:r>
          <w:r>
            <w:fldChar w:fldCharType="begin"/>
          </w:r>
          <w:r>
            <w:instrText xml:space="preserve"> PAGEREF _Toc6459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2.2.5. </w:t>
          </w:r>
          <w:r>
            <w:rPr>
              <w:rFonts w:hint="eastAsia"/>
              <w:lang w:val="en-US" w:eastAsia="zh-CN"/>
            </w:rPr>
            <w:t>主要功能</w:t>
          </w:r>
          <w:r>
            <w:tab/>
          </w:r>
          <w:r>
            <w:fldChar w:fldCharType="begin"/>
          </w:r>
          <w:r>
            <w:instrText xml:space="preserve"> PAGEREF _Toc26010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监控工具-物管平台-物联标志系统</w:t>
          </w:r>
          <w:r>
            <w:tab/>
          </w:r>
          <w:r>
            <w:fldChar w:fldCharType="begin"/>
          </w:r>
          <w:r>
            <w:instrText xml:space="preserve"> PAGEREF _Toc2522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名称</w:t>
          </w:r>
          <w:r>
            <w:tab/>
          </w:r>
          <w:r>
            <w:fldChar w:fldCharType="begin"/>
          </w:r>
          <w:r>
            <w:instrText xml:space="preserve"> PAGEREF _Toc11571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来源</w:t>
          </w:r>
          <w:r>
            <w:tab/>
          </w:r>
          <w:r>
            <w:fldChar w:fldCharType="begin"/>
          </w:r>
          <w:r>
            <w:instrText xml:space="preserve"> PAGEREF _Toc20046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软件特色</w:t>
          </w:r>
          <w:r>
            <w:tab/>
          </w:r>
          <w:r>
            <w:fldChar w:fldCharType="begin"/>
          </w:r>
          <w:r>
            <w:instrText xml:space="preserve"> PAGEREF _Toc22325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应用情况说明</w:t>
          </w:r>
          <w:r>
            <w:tab/>
          </w:r>
          <w:r>
            <w:fldChar w:fldCharType="begin"/>
          </w:r>
          <w:r>
            <w:instrText xml:space="preserve"> PAGEREF _Toc3782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2.3.5. </w:t>
          </w:r>
          <w:r>
            <w:rPr>
              <w:rFonts w:hint="eastAsia"/>
              <w:lang w:val="en-US" w:eastAsia="zh-CN"/>
            </w:rPr>
            <w:t>主要功能</w:t>
          </w:r>
          <w:r>
            <w:tab/>
          </w:r>
          <w:r>
            <w:fldChar w:fldCharType="begin"/>
          </w:r>
          <w:r>
            <w:instrText xml:space="preserve"> PAGEREF _Toc27765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监控工具-隔离装置监控处置工具</w:t>
          </w:r>
          <w:r>
            <w:tab/>
          </w:r>
          <w:r>
            <w:fldChar w:fldCharType="begin"/>
          </w:r>
          <w:r>
            <w:instrText xml:space="preserve"> PAGEREF _Toc5301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名称</w:t>
          </w:r>
          <w:r>
            <w:tab/>
          </w:r>
          <w:r>
            <w:fldChar w:fldCharType="begin"/>
          </w:r>
          <w:r>
            <w:instrText xml:space="preserve"> PAGEREF _Toc11453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来源</w:t>
          </w:r>
          <w:r>
            <w:tab/>
          </w:r>
          <w:r>
            <w:fldChar w:fldCharType="begin"/>
          </w:r>
          <w:r>
            <w:instrText xml:space="preserve"> PAGEREF _Toc29756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2.4.3. </w:t>
          </w:r>
          <w:r>
            <w:rPr>
              <w:rFonts w:hint="eastAsia"/>
              <w:lang w:val="en-US" w:eastAsia="zh-CN"/>
            </w:rPr>
            <w:t>软件特色</w:t>
          </w:r>
          <w:r>
            <w:tab/>
          </w:r>
          <w:r>
            <w:fldChar w:fldCharType="begin"/>
          </w:r>
          <w:r>
            <w:instrText xml:space="preserve"> PAGEREF _Toc26917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2.4.4. </w:t>
          </w:r>
          <w:r>
            <w:rPr>
              <w:rFonts w:hint="eastAsia"/>
              <w:lang w:val="en-US" w:eastAsia="zh-CN"/>
            </w:rPr>
            <w:t>应用情况说明</w:t>
          </w:r>
          <w:r>
            <w:tab/>
          </w:r>
          <w:r>
            <w:fldChar w:fldCharType="begin"/>
          </w:r>
          <w:r>
            <w:instrText xml:space="preserve"> PAGEREF _Toc31146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2.4.5. </w:t>
          </w:r>
          <w:r>
            <w:rPr>
              <w:rFonts w:hint="eastAsia"/>
              <w:lang w:val="en-US" w:eastAsia="zh-CN"/>
            </w:rPr>
            <w:t>主要功能</w:t>
          </w:r>
          <w:r>
            <w:tab/>
          </w:r>
          <w:r>
            <w:fldChar w:fldCharType="begin"/>
          </w:r>
          <w:r>
            <w:instrText xml:space="preserve"> PAGEREF _Toc17932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_Toc17407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运维工具改进</w:t>
          </w:r>
          <w:r>
            <w:tab/>
          </w:r>
          <w:r>
            <w:fldChar w:fldCharType="begin"/>
          </w:r>
          <w:r>
            <w:instrText xml:space="preserve"> PAGEREF _Toc18957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sectPr>
              <w:pgSz w:w="11906" w:h="16838"/>
              <w:pgMar w:top="1440" w:right="1800" w:bottom="1440" w:left="1800" w:header="851" w:footer="992" w:gutter="0"/>
              <w:cols w:num="1" w:space="425"/>
              <w:docGrid w:type="lines" w:linePitch="312" w:charSpace="0"/>
            </w:sectPr>
          </w:pPr>
          <w:r>
            <w:fldChar w:fldCharType="end"/>
          </w:r>
        </w:p>
      </w:sdtContent>
    </w:sdt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3871"/>
      <w:r>
        <w:rPr>
          <w:rFonts w:hint="eastAsia"/>
          <w:lang w:val="en-US" w:eastAsia="zh-CN"/>
        </w:rPr>
        <w:t>运维工具列表</w:t>
      </w:r>
      <w:bookmarkEnd w:id="5"/>
    </w:p>
    <w:tbl>
      <w:tblPr>
        <w:tblStyle w:val="TableNormal"/>
        <w:tblW w:w="13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1764"/>
        <w:gridCol w:w="3600"/>
        <w:gridCol w:w="1272"/>
        <w:gridCol w:w="5596"/>
      </w:tblGrid>
      <w:tr>
        <w:tblPrEx>
          <w:tblW w:w="1303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序号</w:t>
            </w: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工具类别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名称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工具来源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应用情况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说明</w:t>
            </w:r>
          </w:p>
        </w:tc>
      </w:tr>
      <w:tr>
        <w:tblPrEx>
          <w:tblW w:w="13037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运维过程管理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Cs w:val="21"/>
              </w:rPr>
            </w:pPr>
            <w:r>
              <w:t>智能一体化运维支撑平台SG-I6000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开源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right="103" w:rightChars="0"/>
              <w:jc w:val="both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  <w:lang w:val="en-US" w:eastAsia="zh-CN"/>
              </w:rPr>
              <w:t>通过使用</w:t>
            </w: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智能一体化运维支撑平台 SG-I6000</w:t>
            </w: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  <w:lang w:val="en-US" w:eastAsia="zh-CN"/>
              </w:rPr>
              <w:t>的工单模块和任务模块</w:t>
            </w: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实现了任务从创建、派发、处理到闭环的全流程数字化管理。通过可视化的流转看板与自动化规则，显著提升了协同效率，并确保每项运维任务可跟踪、可量化、可追溯。</w:t>
            </w:r>
          </w:p>
        </w:tc>
      </w:tr>
      <w:tr>
        <w:tblPrEx>
          <w:tblW w:w="13037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运维监控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信息系统性能监控工具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开源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right="103" w:rightChars="0"/>
              <w:jc w:val="both"/>
              <w:textAlignment w:val="baseline"/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通过系统监控</w:t>
            </w: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  <w:lang w:val="en-US" w:eastAsia="zh-CN"/>
              </w:rPr>
              <w:t>工具</w:t>
            </w: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可以及时了解系统的运行情况，在故障发生前进行预防，在故障发生后及时告警，同时也为系统的巡检提供了大量的数据依据，为系统的改进、完善打下了坚实的基础，同时缩短了系统故障发生的时长，使故障能够得到及时</w:t>
            </w: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  <w:lang w:val="en-US" w:eastAsia="zh-CN"/>
              </w:rPr>
              <w:t>处置</w:t>
            </w:r>
          </w:p>
        </w:tc>
      </w:tr>
      <w:tr>
        <w:tblPrEx>
          <w:tblW w:w="13037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运维监控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物管平台-物联标志系统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自研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right="103" w:rightChars="0"/>
              <w:jc w:val="both"/>
              <w:textAlignment w:val="baseline"/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  <w:lang w:val="en-US" w:eastAsia="zh-CN"/>
              </w:rPr>
              <w:t>通过使用物管平台-物联标志系统</w:t>
            </w: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依托云平台与数据中台，强化物联平台服务能力；以服务、运维及数据可视化技术驱动业务，支撑各业务系统与物联平台对接，提升终端运维管理效率。</w:t>
            </w:r>
          </w:p>
        </w:tc>
      </w:tr>
      <w:tr>
        <w:tblPrEx>
          <w:tblW w:w="13037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运维监控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隔离装置监控处置工具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自研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right="103" w:rightChars="0"/>
              <w:jc w:val="both"/>
              <w:textAlignment w:val="baseline"/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7"/>
                <w:sz w:val="21"/>
                <w:szCs w:val="21"/>
              </w:rPr>
              <w:t>解决隔离装置代理进程“SQLproxy”假死问题。该问题会导致微信公众号、外网门户等重要系统无法正常使用，且传统依赖人工重启的方式效率低下。本工具通过自动化监测与处置，5分钟内完成故障修复，大幅提升内外网业务系统运行可靠性，改善客户体验与工作效率。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num="1" w:space="425"/>
          <w:docGrid w:type="lines" w:linePitch="312" w:charSpace="0"/>
        </w:sect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9915"/>
      <w:r>
        <w:rPr>
          <w:rFonts w:hint="eastAsia"/>
          <w:lang w:val="en-US" w:eastAsia="zh-CN"/>
        </w:rPr>
        <w:t>运维工具应用情况</w:t>
      </w:r>
      <w:bookmarkEnd w:id="4"/>
      <w:bookmarkEnd w:id="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8165"/>
      <w:bookmarkStart w:id="8" w:name="_Toc2004"/>
      <w:r>
        <w:rPr>
          <w:rFonts w:hint="eastAsia"/>
          <w:lang w:val="en-US" w:eastAsia="zh-CN"/>
        </w:rPr>
        <w:t>过程管理工具</w:t>
      </w:r>
      <w:bookmarkEnd w:id="7"/>
      <w:r>
        <w:rPr>
          <w:rFonts w:hint="eastAsia"/>
          <w:lang w:val="en-US" w:eastAsia="zh-CN"/>
        </w:rPr>
        <w:t>-</w:t>
      </w:r>
      <w:r>
        <w:t>智能一体化运维支撑平台 SG-I6000</w:t>
      </w:r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8958"/>
      <w:bookmarkStart w:id="10" w:name="_Toc5597"/>
      <w:r>
        <w:rPr>
          <w:rFonts w:hint="eastAsia"/>
          <w:lang w:val="en-US" w:eastAsia="zh-CN"/>
        </w:rPr>
        <w:t>名称</w:t>
      </w:r>
      <w:bookmarkEnd w:id="9"/>
      <w:bookmarkEnd w:id="10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智能一体化运维支撑平台 SG-I6000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9703"/>
      <w:bookmarkStart w:id="12" w:name="_Toc22977"/>
      <w:r>
        <w:rPr>
          <w:rFonts w:hint="eastAsia"/>
          <w:lang w:val="en-US" w:eastAsia="zh-CN"/>
        </w:rPr>
        <w:t>来源</w:t>
      </w:r>
      <w:bookmarkEnd w:id="11"/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722"/>
      <w:bookmarkStart w:id="14" w:name="_Toc7369"/>
      <w:r>
        <w:rPr>
          <w:rFonts w:hint="eastAsia"/>
          <w:lang w:val="en-US" w:eastAsia="zh-CN"/>
        </w:rPr>
        <w:t>软件特色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本智能一体化运维支撑平台以“集成化、流程化、知识化”为设计核心，突破传统运维工具条块分割的局限，构建起事件、工单、知识三大管理流程无缝衔接的一体化运维协作体系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6071"/>
      <w:bookmarkStart w:id="16" w:name="_Toc23940"/>
      <w:r>
        <w:rPr>
          <w:rFonts w:hint="eastAsia"/>
          <w:lang w:val="en-US" w:eastAsia="zh-CN"/>
        </w:rPr>
        <w:t>应用情况说明</w:t>
      </w:r>
      <w:bookmarkEnd w:id="15"/>
      <w:bookmarkEnd w:id="16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智能一体化运维支撑平台 SG-I6000</w:t>
      </w:r>
      <w:r>
        <w:rPr>
          <w:rFonts w:hint="eastAsia"/>
          <w:lang w:val="en-US" w:eastAsia="zh-CN"/>
        </w:rPr>
        <w:t>，应用的主要项目有：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34" w:lineRule="auto"/>
        <w:ind w:left="425" w:right="107" w:hanging="425" w:leftChars="0" w:firstLineChars="0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曲靖供电局110kV变电站电力监控系统网络安全态势感知建设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236" w:lineRule="auto"/>
        <w:ind w:left="425" w:right="107" w:hanging="425" w:leftChars="0" w:firstLineChars="0"/>
        <w:textAlignment w:val="baseline"/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四川射洪35kV香山等15座变电站技术服务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236" w:lineRule="auto"/>
        <w:ind w:left="425" w:right="107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海南华能东方戈枕电厂项目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通过使用</w:t>
      </w:r>
      <w:r>
        <w:t>智能一体化运维支撑平台 SG-I6000</w:t>
      </w:r>
      <w:r>
        <w:rPr>
          <w:rFonts w:hint="eastAsia"/>
          <w:lang w:val="en-US" w:eastAsia="zh-CN"/>
        </w:rPr>
        <w:t>的工单模块和任务模块</w:t>
      </w:r>
      <w:r>
        <w:t>实现了任务从创建、派发、处理到闭环的全流程数字化管理。通过可视化的流转看板与自动化规则，显著提升了协同效率，并确保每项运维任务可跟踪、可量化、可追溯。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7183"/>
      <w:r>
        <w:rPr>
          <w:rFonts w:hint="eastAsia"/>
          <w:lang w:val="en-US" w:eastAsia="zh-CN"/>
        </w:rPr>
        <w:t>主要功能</w:t>
      </w:r>
      <w:bookmarkEnd w:id="17"/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0459"/>
      <w:r>
        <w:rPr>
          <w:rFonts w:hint="eastAsia"/>
          <w:lang w:val="en-US" w:eastAsia="zh-CN"/>
        </w:rPr>
        <w:t>服务台</w:t>
      </w:r>
      <w:bookmarkEnd w:id="18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  <w:szCs w:val="24"/>
        </w:rPr>
      </w:pPr>
      <w:r>
        <w:drawing>
          <wp:inline distT="0" distB="0" distL="114300" distR="114300">
            <wp:extent cx="4653280" cy="2230755"/>
            <wp:effectExtent l="0" t="0" r="10160" b="952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台作为信息部门和服务客户之间的唯一联系点，提供了一个化被动管理为主动管理的有效工具，它既可以响应客户的询问和请求，也可以解决客户的故障和疑问，对事件的处理过程进行全面监控，提高事件的处理效率和客户的满意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台提供受理服务请求的功能，基于客户提交的服务请求，依据统一的紧急度、影响度、优先级判断标准，将服务请求转化为事件工单，并按匹配的服务目录分配给运维团队支持。对于处理中的事件工单，服务台支持跟踪工单处理过程，支持按需进行干预（如更换处理人、强制接管、强制完成）或挂起（主要针对因客观原因无法继续处理的工单），确保服务质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cs="宋体" w:hint="eastAsia"/>
          <w:szCs w:val="24"/>
        </w:rPr>
      </w:pPr>
      <w:r>
        <w:rPr>
          <w:rFonts w:hint="eastAsia"/>
        </w:rPr>
        <w:t>服务台目的是为了加强客户与IT服务管理之间的联系，并作为IT服务部门与客户之间的连接点。服务台可以根据客户的简单查询需求调用IT服务管理系统中已有资源或解决方案，为客户提供自助服务并自我解决部分事件；同时，服务台亦承担收集并记录客户提交的服务请求，创建并维护与事件或服务请求相关的针对性记录，并由此启动“事件管理流程”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hAnsi="宋体" w:cs="宋体" w:hint="eastAsia"/>
          <w:sz w:val="24"/>
          <w:szCs w:val="24"/>
        </w:rPr>
      </w:pPr>
      <w:r>
        <w:drawing>
          <wp:inline distT="0" distB="0" distL="114300" distR="114300">
            <wp:extent cx="4137660" cy="1477645"/>
            <wp:effectExtent l="0" t="0" r="7620" b="635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center"/>
        <w:textAlignment w:val="baseline"/>
        <w:rPr>
          <w:rFonts w:hint="eastAsia"/>
        </w:rPr>
      </w:pPr>
      <w:r>
        <w:rPr>
          <w:rFonts w:hint="eastAsia"/>
        </w:rPr>
        <w:t>填写故障单</w:t>
      </w:r>
    </w:p>
    <w:p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eastAsia"/>
        </w:rPr>
      </w:pPr>
    </w:p>
    <w:p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drawing>
          <wp:inline distT="0" distB="0" distL="114300" distR="114300">
            <wp:extent cx="5270500" cy="2903220"/>
            <wp:effectExtent l="0" t="0" r="254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drawing>
          <wp:inline distT="0" distB="0" distL="114300" distR="114300">
            <wp:extent cx="5270500" cy="2914650"/>
            <wp:effectExtent l="0" t="0" r="2540" b="1143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sz w:val="24"/>
          <w:szCs w:val="24"/>
        </w:rPr>
      </w:pPr>
      <w:r>
        <w:rPr>
          <w:rFonts w:hint="eastAsia"/>
        </w:rPr>
        <w:t>填写故障内容，处理完成</w:t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5561"/>
      <w:r>
        <w:rPr>
          <w:rFonts w:hint="eastAsia"/>
          <w:lang w:val="en-US" w:eastAsia="zh-CN"/>
        </w:rPr>
        <w:t>服务</w:t>
      </w:r>
      <w:bookmarkEnd w:id="19"/>
      <w:r>
        <w:rPr>
          <w:rFonts w:hint="eastAsia"/>
          <w:lang w:val="en-US" w:eastAsia="zh-CN"/>
        </w:rPr>
        <w:t>管理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Times New Roman" w:eastAsia="宋体" w:hAnsi="Times New Roman" w:cs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服务管理包含我的待办、我的跟进、事件管理、问题管理、变更管理、任务管理等模块。以下是任务管理中的日巡检和周巡检的流程。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</w:pPr>
      <w:r>
        <w:drawing>
          <wp:inline distT="0" distB="0" distL="114300" distR="114300">
            <wp:extent cx="4587240" cy="2210435"/>
            <wp:effectExtent l="0" t="0" r="0" b="14605"/>
            <wp:docPr id="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center"/>
        <w:textAlignment w:val="baseline"/>
        <w:rPr>
          <w:rFonts w:hint="eastAsia"/>
        </w:rPr>
      </w:pPr>
      <w:r>
        <w:rPr>
          <w:rFonts w:hint="eastAsia"/>
        </w:rPr>
        <w:t>选择填写巡检项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center"/>
        <w:textAlignment w:val="baseline"/>
        <w:rPr>
          <w:rFonts w:hint="eastAsia"/>
        </w:rPr>
      </w:pPr>
      <w:r>
        <w:drawing>
          <wp:inline distT="0" distB="0" distL="114300" distR="114300">
            <wp:extent cx="5273040" cy="3244850"/>
            <wp:effectExtent l="0" t="0" r="0" b="1270"/>
            <wp:docPr id="4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center"/>
        <w:textAlignment w:val="baseline"/>
      </w:pPr>
      <w:r>
        <w:rPr>
          <w:rFonts w:hint="eastAsia"/>
        </w:rPr>
        <w:t>日巡检内容信息</w:t>
      </w:r>
    </w:p>
    <w:p>
      <w:pPr>
        <w:keepNext w:val="0"/>
        <w:keepLines w:val="0"/>
        <w:pageBreakBefore w:val="0"/>
        <w:widowControl w:val="0"/>
        <w:tabs>
          <w:tab w:val="left" w:pos="62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drawing>
          <wp:inline distT="0" distB="0" distL="114300" distR="114300">
            <wp:extent cx="5273040" cy="3268980"/>
            <wp:effectExtent l="0" t="0" r="0" b="7620"/>
            <wp:docPr id="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28"/>
          <w:tab w:val="left" w:pos="15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  <w:r>
        <w:rPr>
          <w:rFonts w:hint="eastAsia"/>
        </w:rPr>
        <w:t>日巡检内容信息</w:t>
      </w:r>
    </w:p>
    <w:p>
      <w:pPr>
        <w:keepNext w:val="0"/>
        <w:keepLines w:val="0"/>
        <w:pageBreakBefore w:val="0"/>
        <w:widowControl w:val="0"/>
        <w:tabs>
          <w:tab w:val="left" w:pos="628"/>
          <w:tab w:val="left" w:pos="15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eastAsia"/>
        </w:rPr>
      </w:pPr>
      <w:r>
        <w:drawing>
          <wp:inline distT="0" distB="0" distL="114300" distR="114300">
            <wp:extent cx="5270500" cy="2893695"/>
            <wp:effectExtent l="0" t="0" r="2540" b="1905"/>
            <wp:docPr id="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  <w:r>
        <w:rPr>
          <w:rFonts w:hint="eastAsia"/>
        </w:rPr>
        <w:t>填写巡检项内容然后提交</w:t>
      </w:r>
    </w:p>
    <w:p>
      <w:pPr>
        <w:keepNext w:val="0"/>
        <w:keepLines w:val="0"/>
        <w:pageBreakBefore w:val="0"/>
        <w:widowControl w:val="0"/>
        <w:tabs>
          <w:tab w:val="left" w:pos="2961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eastAsia"/>
        </w:rPr>
      </w:pPr>
    </w:p>
    <w:p>
      <w:pPr>
        <w:keepNext w:val="0"/>
        <w:keepLines w:val="0"/>
        <w:pageBreakBefore w:val="0"/>
        <w:widowControl w:val="0"/>
        <w:tabs>
          <w:tab w:val="left" w:pos="2961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drawing>
          <wp:inline distT="0" distB="0" distL="114300" distR="114300">
            <wp:extent cx="5271135" cy="2701290"/>
            <wp:effectExtent l="0" t="0" r="1905" b="11430"/>
            <wp:docPr id="5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2961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  <w:r>
        <w:rPr>
          <w:rFonts w:hint="eastAsia"/>
        </w:rPr>
        <w:t>发起任务，选择巡检维护项目</w:t>
      </w:r>
    </w:p>
    <w:p>
      <w:pPr>
        <w:keepNext w:val="0"/>
        <w:keepLines w:val="0"/>
        <w:pageBreakBefore w:val="0"/>
        <w:widowControl w:val="0"/>
        <w:tabs>
          <w:tab w:val="left" w:pos="2961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drawing>
          <wp:inline distT="0" distB="0" distL="114300" distR="114300">
            <wp:extent cx="5267325" cy="2684145"/>
            <wp:effectExtent l="0" t="0" r="5715" b="13335"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228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  <w:r>
        <w:rPr>
          <w:rFonts w:hint="eastAsia"/>
        </w:rPr>
        <w:t>周巡检项内容信息</w:t>
      </w:r>
    </w:p>
    <w:p>
      <w:pPr>
        <w:keepNext w:val="0"/>
        <w:keepLines w:val="0"/>
        <w:pageBreakBefore w:val="0"/>
        <w:widowControl w:val="0"/>
        <w:tabs>
          <w:tab w:val="left" w:pos="2961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drawing>
          <wp:inline distT="0" distB="0" distL="114300" distR="114300">
            <wp:extent cx="5261610" cy="2406650"/>
            <wp:effectExtent l="0" t="0" r="11430" b="1270"/>
            <wp:docPr id="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2961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  <w:r>
        <w:rPr>
          <w:rFonts w:hint="eastAsia"/>
        </w:rPr>
        <w:t>周巡检项内容信息</w:t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面向运行维护的</w:t>
      </w:r>
      <w:r>
        <w:rPr>
          <w:rFonts w:hint="eastAsia"/>
          <w:sz w:val="24"/>
          <w:szCs w:val="24"/>
          <w:lang w:eastAsia="zh-CN"/>
        </w:rPr>
        <w:t>服务知识</w:t>
      </w:r>
      <w:r>
        <w:rPr>
          <w:rFonts w:hint="eastAsia"/>
          <w:sz w:val="24"/>
          <w:szCs w:val="24"/>
        </w:rPr>
        <w:t>，作为IT服务管理的知识核心，提供了各个层面的知识管理，协同解决知识共享和再利用的问题。将IT运行管理提高过程建立在知识积累和共享的过程之上，将知识管理作为IT监控和管理的指导核心，并针对行业性知识和规范提供支持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服务知识</w:t>
      </w:r>
      <w:r>
        <w:rPr>
          <w:rFonts w:hint="eastAsia"/>
          <w:sz w:val="24"/>
          <w:szCs w:val="24"/>
        </w:rPr>
        <w:t>用户权限可以分为三类，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运维部经理</w:t>
      </w:r>
      <w:r>
        <w:rPr>
          <w:rFonts w:hint="eastAsia"/>
          <w:sz w:val="24"/>
          <w:szCs w:val="24"/>
        </w:rPr>
        <w:t>可以管理定制</w:t>
      </w:r>
      <w:r>
        <w:rPr>
          <w:rFonts w:hint="eastAsia"/>
          <w:sz w:val="24"/>
          <w:szCs w:val="24"/>
          <w:lang w:eastAsia="zh-CN"/>
        </w:rPr>
        <w:t>服务知识</w:t>
      </w:r>
      <w:r>
        <w:rPr>
          <w:rFonts w:hint="eastAsia"/>
          <w:sz w:val="24"/>
          <w:szCs w:val="24"/>
        </w:rPr>
        <w:t>，包括新建和修改</w:t>
      </w:r>
      <w:r>
        <w:rPr>
          <w:rFonts w:hint="eastAsia"/>
          <w:sz w:val="24"/>
          <w:szCs w:val="24"/>
          <w:lang w:eastAsia="zh-CN"/>
        </w:rPr>
        <w:t>服务知识</w:t>
      </w:r>
      <w:r>
        <w:rPr>
          <w:rFonts w:hint="eastAsia"/>
          <w:sz w:val="24"/>
          <w:szCs w:val="24"/>
        </w:rPr>
        <w:t>类别等维护工作；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知识审批人员可以审批知识变更、发布草稿为正式知识，废弃知识、重新启用知识等；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普通用户可以查询</w:t>
      </w:r>
      <w:r>
        <w:rPr>
          <w:rFonts w:hint="eastAsia"/>
          <w:sz w:val="24"/>
          <w:szCs w:val="24"/>
          <w:lang w:eastAsia="zh-CN"/>
        </w:rPr>
        <w:t>服务知识</w:t>
      </w:r>
      <w:r>
        <w:rPr>
          <w:rFonts w:hint="eastAsia"/>
          <w:sz w:val="24"/>
          <w:szCs w:val="24"/>
        </w:rPr>
        <w:t>、发起知识修改、评论知识等，但是不能参与知识的审批、发布和管理。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eastAsia="宋体"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服务知识</w:t>
      </w:r>
      <w:r>
        <w:rPr>
          <w:rFonts w:hint="eastAsia"/>
          <w:sz w:val="24"/>
          <w:szCs w:val="24"/>
        </w:rPr>
        <w:t>可以包括以下知识</w:t>
      </w:r>
      <w:r>
        <w:rPr>
          <w:rFonts w:hint="eastAsia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采集知识：为数据采集的指标和阀值提供模板和建议；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分析知识：提供事件分析、关联、根源的知识策略；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行业知识：提供企业部门标准、指标、规范性指导，以及诊断的知识信息；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信息知识：提供各类信息的帮助知识，例如：典型安全告警的帮助和解决知识；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业务知识：提供各类业务应用系统日常使用的帮助知识。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hint="eastAsia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-118110</wp:posOffset>
            </wp:positionH>
            <wp:positionV relativeFrom="paragraph">
              <wp:posOffset>988695</wp:posOffset>
            </wp:positionV>
            <wp:extent cx="5481955" cy="2100580"/>
            <wp:effectExtent l="0" t="0" r="4445" b="2540"/>
            <wp:wrapTopAndBottom/>
            <wp:docPr id="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所有用户都可以通过</w:t>
      </w:r>
      <w:r>
        <w:rPr>
          <w:rFonts w:hint="eastAsia"/>
          <w:sz w:val="24"/>
          <w:szCs w:val="24"/>
          <w:lang w:eastAsia="zh-CN"/>
        </w:rPr>
        <w:t>服务知识</w:t>
      </w:r>
      <w:r>
        <w:rPr>
          <w:rFonts w:hint="eastAsia"/>
          <w:sz w:val="24"/>
          <w:szCs w:val="24"/>
        </w:rPr>
        <w:t>页面查询知识，也可以在工单处理中引用知识或将解决方案转化成知识，同时支持知识的不断更新细化，真正的将知识和实用联动起来，以知识推动处理效率，并在处理过程中不断的优化知识。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  <w:r>
        <w:rPr>
          <w:rFonts w:hint="eastAsia"/>
        </w:rPr>
        <w:t>知识发布页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center"/>
        <w:textAlignment w:val="baseline"/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-86995</wp:posOffset>
            </wp:positionH>
            <wp:positionV relativeFrom="paragraph">
              <wp:posOffset>182245</wp:posOffset>
            </wp:positionV>
            <wp:extent cx="5488305" cy="2724785"/>
            <wp:effectExtent l="0" t="0" r="13335" b="3175"/>
            <wp:wrapTopAndBottom/>
            <wp:docPr id="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知识审核页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453640"/>
            <wp:effectExtent l="0" t="0" r="14605" b="0"/>
            <wp:docPr id="5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17325"/>
      <w:r>
        <w:rPr>
          <w:rFonts w:hint="eastAsia"/>
          <w:lang w:val="en-US" w:eastAsia="zh-CN"/>
        </w:rPr>
        <w:t>监控工具-信息系统性能监控工具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12996"/>
      <w:r>
        <w:rPr>
          <w:rFonts w:hint="eastAsia"/>
          <w:lang w:val="en-US" w:eastAsia="zh-CN"/>
        </w:rPr>
        <w:t>名称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信息系统性能监控工具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17567"/>
      <w:r>
        <w:rPr>
          <w:rFonts w:hint="eastAsia"/>
          <w:lang w:val="en-US" w:eastAsia="zh-CN"/>
        </w:rPr>
        <w:t>来源</w:t>
      </w:r>
      <w:bookmarkEnd w:id="2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开源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GoBack"/>
      <w:bookmarkEnd w:id="23"/>
      <w:bookmarkStart w:id="24" w:name="_Toc32472"/>
      <w:r>
        <w:rPr>
          <w:rFonts w:hint="eastAsia"/>
          <w:lang w:val="en-US" w:eastAsia="zh-CN"/>
        </w:rPr>
        <w:t>软件特色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核心特色在于其强大而灵活的数据可视化能力，能够将来自多种数据源的监控指标转化为直观的</w:t>
      </w:r>
      <w:r>
        <w:rPr>
          <w:rFonts w:hint="eastAsia"/>
          <w:lang w:val="en-US" w:eastAsia="zh-CN"/>
        </w:rPr>
        <w:t>资源集数据</w:t>
      </w:r>
      <w:r>
        <w:t>。它支持实时监控和告警，使您能够一眼洞察系统状态并快速响应问题。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6459"/>
      <w:r>
        <w:rPr>
          <w:rFonts w:hint="eastAsia"/>
          <w:lang w:val="en-US" w:eastAsia="zh-CN"/>
        </w:rPr>
        <w:t>应用情况说明</w:t>
      </w:r>
      <w:bookmarkEnd w:id="25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34" w:lineRule="auto"/>
        <w:ind w:left="425" w:right="107" w:hanging="425" w:leftChars="0" w:firstLineChars="0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曲靖供电局110kV变电站电力监控系统网络安全态势感知建设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236" w:lineRule="auto"/>
        <w:ind w:left="425" w:right="107" w:hanging="425" w:leftChars="0" w:firstLineChars="0"/>
        <w:textAlignment w:val="baseline"/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四川射洪35kV香山等15座变电站技术服务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236" w:lineRule="auto"/>
        <w:ind w:left="425" w:right="107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海南华能东方戈枕电厂项目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</w:rPr>
        <w:t>通过系统监控</w:t>
      </w:r>
      <w:r>
        <w:rPr>
          <w:rFonts w:hint="eastAsia"/>
          <w:lang w:val="en-US" w:eastAsia="zh-CN"/>
        </w:rPr>
        <w:t>工具</w:t>
      </w:r>
      <w:r>
        <w:rPr>
          <w:rFonts w:hint="eastAsia"/>
        </w:rPr>
        <w:t>可以及时了解系统的运行情况，在故障发生前进行预防，在故障发生后及时告警，同时也为系统的巡检提供了大量的数据依据，为系统的改进、完善打下了坚实的基础，同时缩短了系统故障发生的时长，使故障能够得到及时</w:t>
      </w:r>
      <w:r>
        <w:rPr>
          <w:rFonts w:hint="eastAsia"/>
          <w:lang w:val="en-US" w:eastAsia="zh-CN"/>
        </w:rPr>
        <w:t>处置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6093"/>
      <w:bookmarkStart w:id="27" w:name="_Toc26010"/>
      <w:r>
        <w:rPr>
          <w:rFonts w:hint="eastAsia"/>
          <w:lang w:val="en-US" w:eastAsia="zh-CN"/>
        </w:rPr>
        <w:t>主要功能</w:t>
      </w:r>
      <w:bookmarkEnd w:id="26"/>
      <w:bookmarkEnd w:id="27"/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资源集用于查看总资源数、进行中资源、异常资源及资源利用率等信息。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列表可用于查看各类数据库状态，如下图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资源集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0" w:after="0" w:line="360" w:lineRule="auto"/>
        <w:ind w:left="0" w:right="0" w:firstLine="0" w:leftChars="0" w:rightChars="0" w:firstLineChars="0"/>
        <w:jc w:val="center"/>
        <w:textAlignment w:val="baseline"/>
        <w:rPr>
          <w:rFonts w:ascii="Calibri" w:eastAsia="宋体" w:hAnsi="Calibri" w:cs="宋体" w:hint="eastAsia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2880" cy="2445385"/>
            <wp:effectExtent l="0" t="0" r="10160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应用系统监控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应用监控系统用于监控各在运行的系统的状态，总体包括总应用数、正常运行数量、警告状态数量、异常状态数量。应用列表用于监控各类应用系统的状态，如下图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应用监控系统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776730"/>
            <wp:effectExtent l="0" t="0" r="14605" b="635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both"/>
        <w:textAlignment w:val="baseline"/>
      </w:pP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中间件监控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中间件监控主要用于tomcat、weblogic、nginx的状态，如下图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中间件监控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0" w:after="0" w:line="360" w:lineRule="auto"/>
        <w:ind w:left="0" w:right="0" w:firstLine="0" w:leftChars="0" w:rightChars="0" w:firstLineChars="0"/>
        <w:jc w:val="both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2407285"/>
            <wp:effectExtent l="0" t="0" r="12065" b="63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网络设备监控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网络设备监控主要用于监控负载服务器、路由器及交换机等设备的工作状态，如下图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网络设备监控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70500" cy="1978025"/>
            <wp:effectExtent l="0" t="0" r="2540" b="317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177540"/>
            <wp:effectExtent l="0" t="0" r="0" b="762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存储设备监控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存储设备监控主要用于监控文件服务器的使用趋势、存储设备列表、设备数、存储总量等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存储设备监控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0" w:after="0" w:line="360" w:lineRule="auto"/>
        <w:ind w:left="0" w:right="0" w:firstLine="0" w:leftChars="0" w:rightChars="0" w:firstLineChars="0"/>
        <w:jc w:val="center"/>
        <w:textAlignment w:val="baseline"/>
        <w:rPr>
          <w:rFonts w:ascii="Calibri" w:eastAsia="宋体" w:hAnsi="Calibri" w:cs="宋体" w:hint="default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3515" cy="1920240"/>
            <wp:effectExtent l="0" t="0" r="9525" b="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0" w:after="0" w:line="360" w:lineRule="auto"/>
        <w:ind w:left="0" w:right="0" w:firstLine="0" w:leftChars="0" w:rightChars="0" w:firstLineChars="0"/>
        <w:jc w:val="center"/>
        <w:textAlignment w:val="baseline"/>
        <w:rPr>
          <w:rFonts w:ascii="Calibri" w:eastAsia="宋体" w:hAnsi="Calibri" w:cs="宋体" w:hint="default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2880" cy="1691640"/>
            <wp:effectExtent l="0" t="0" r="10160" b="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安全设备监控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安全设备监控主要用于防火墙、VPN、应用防火墙等监控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安全设备监控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9230" cy="2475865"/>
            <wp:effectExtent l="0" t="0" r="3810" b="825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522"/>
      <w:r>
        <w:rPr>
          <w:rFonts w:hint="eastAsia"/>
          <w:lang w:val="en-US" w:eastAsia="zh-CN"/>
        </w:rPr>
        <w:t>监控工具-物管平台-物联标志系统</w:t>
      </w:r>
      <w:bookmarkEnd w:id="2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11571"/>
      <w:r>
        <w:rPr>
          <w:rFonts w:hint="eastAsia"/>
          <w:lang w:val="en-US" w:eastAsia="zh-CN"/>
        </w:rPr>
        <w:t>名称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物管平台-物联标志系统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20046"/>
      <w:r>
        <w:rPr>
          <w:rFonts w:hint="eastAsia"/>
          <w:lang w:val="en-US" w:eastAsia="zh-CN"/>
        </w:rPr>
        <w:t>来源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自研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22325"/>
      <w:r>
        <w:rPr>
          <w:rFonts w:hint="eastAsia"/>
          <w:lang w:val="en-US" w:eastAsia="zh-CN"/>
        </w:rPr>
        <w:t>软件特色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基于物联网技术的物联标识系统，实现物联网设备的注册、审核、解析、标识管理，深化物联网设备信息应用；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打造统一设备标识管理体系，为设备新增、应用深化、数据共享及与业务系统深度融合提供技术基础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3782"/>
      <w:r>
        <w:rPr>
          <w:rFonts w:hint="eastAsia"/>
          <w:lang w:val="en-US" w:eastAsia="zh-CN"/>
        </w:rPr>
        <w:t>应用情况说明</w:t>
      </w:r>
      <w:bookmarkEnd w:id="32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236" w:lineRule="auto"/>
        <w:ind w:left="425" w:right="107" w:hanging="425" w:leftChars="0" w:rightChars="0" w:firstLineChars="0"/>
        <w:textAlignment w:val="baseline"/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四川射洪35kV香山等15座变电站技术服务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海南华能东方戈枕电厂项目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通过使用物管平台-物联标志系统</w:t>
      </w:r>
      <w:r>
        <w:rPr>
          <w:rFonts w:hint="eastAsia"/>
        </w:rPr>
        <w:t>依托云平台与数据中台，强化物联平台服务能力；以服务、运维及数据可视化技术驱动业务，支撑各业务系统与物联平台对接，提升终端运维管理效率。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27765"/>
      <w:r>
        <w:rPr>
          <w:rFonts w:hint="eastAsia"/>
          <w:lang w:val="en-US" w:eastAsia="zh-CN"/>
        </w:rPr>
        <w:t>主要功能</w:t>
      </w:r>
      <w:bookmarkEnd w:id="33"/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系统概览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核心模块包括标识管理、标识数据统计、数据同步、系统管理（用户/组织/菜单/角色管理）及移动应用，实现物联网设备全生命周期管理与数据服务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8595" cy="2981325"/>
            <wp:effectExtent l="0" t="0" r="444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数据统计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firstLine="420" w:firstLineChars="200"/>
        <w:jc w:val="left"/>
        <w:textAlignment w:val="baseline"/>
      </w:pPr>
      <w:r>
        <w:rPr>
          <w:rStyle w:val="Char"/>
        </w:rPr>
        <w:t>以单位、设备类型为统计维度，采用柱状图可视化展示数据，支持全局及明细数据查看，助力设备分布与数量分析。</w:t>
      </w:r>
      <w:r>
        <w:drawing>
          <wp:inline distT="0" distB="0" distL="114300" distR="114300">
            <wp:extent cx="5269865" cy="2148840"/>
            <wp:effectExtent l="0" t="0" r="317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2405" cy="2384425"/>
            <wp:effectExtent l="0" t="0" r="635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数据同步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实现与ISC系统的用户及组织信息同步，确保标识系统内的人员机构信息与主库一致，保障数据准确性。</w:t>
      </w:r>
      <w:r>
        <w:rPr>
          <w:rFonts w:hint="eastAsia"/>
          <w:lang w:val="en-US" w:eastAsia="zh-CN"/>
        </w:rPr>
        <w:t>如下图所示</w:t>
      </w:r>
      <w:r>
        <w:drawing>
          <wp:inline distT="0" distB="0" distL="114300" distR="114300">
            <wp:extent cx="5266690" cy="2293620"/>
            <wp:effectExtent l="0" t="0" r="6350" b="762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系统管理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Char0"/>
          <w:rFonts w:hint="eastAsia"/>
          <w:lang w:val="en-US"/>
        </w:rPr>
      </w:pPr>
      <w:r>
        <w:t>菜单管理支持自定义菜单名称、URL、路径、排序及显示状态等配置，提供返回、保存、删除及添加下级等操作按钮；组织管理记录组织名称、上级机构及创建时间等核心信息，支撑系统权限精细化管控。</w:t>
      </w:r>
      <w:r>
        <w:rPr>
          <w:rFonts w:hint="eastAsia"/>
          <w:lang w:val="en-US"/>
        </w:rPr>
        <w:t>如下图所示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62880" cy="2108835"/>
            <wp:effectExtent l="0" t="0" r="10160" b="952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/>
          <w:sz w:val="22"/>
        </w:rPr>
        <w:br/>
      </w:r>
      <w:r>
        <w:drawing>
          <wp:inline distT="0" distB="0" distL="114300" distR="114300">
            <wp:extent cx="5270500" cy="2116455"/>
            <wp:effectExtent l="0" t="0" r="2540" b="190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支持权限管理功能，实现按需分配权限。进行严格管控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1135" cy="2820035"/>
            <wp:effectExtent l="0" t="0" r="1905" b="1460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1135" cy="1597025"/>
            <wp:effectExtent l="0" t="0" r="1905" b="317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设备管理功能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971165"/>
            <wp:effectExtent l="0" t="0" r="10160" b="63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5301"/>
      <w:r>
        <w:rPr>
          <w:rFonts w:hint="eastAsia"/>
          <w:lang w:val="en-US" w:eastAsia="zh-CN"/>
        </w:rPr>
        <w:t>监控工具-隔离装置监控处置工具</w:t>
      </w:r>
      <w:bookmarkEnd w:id="3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5" w:name="_Toc11453"/>
      <w:r>
        <w:rPr>
          <w:rFonts w:hint="eastAsia"/>
          <w:lang w:val="en-US" w:eastAsia="zh-CN"/>
        </w:rPr>
        <w:t>名称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隔离装置监控处置工具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29756"/>
      <w:r>
        <w:rPr>
          <w:rFonts w:hint="eastAsia"/>
          <w:lang w:val="en-US" w:eastAsia="zh-CN"/>
        </w:rPr>
        <w:t>来源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自研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26917"/>
      <w:r>
        <w:rPr>
          <w:rFonts w:hint="eastAsia"/>
          <w:lang w:val="en-US" w:eastAsia="zh-CN"/>
        </w:rPr>
        <w:t>软件特色</w:t>
      </w:r>
      <w:bookmarkEnd w:id="3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自动监测处置工具，在不影响业务运行的前提下，通过实时监测与故障处理功能，5分钟内完成自动故障处置，提升外网业务系统运行稳定性。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8" w:name="_Toc31146"/>
      <w:r>
        <w:rPr>
          <w:rFonts w:hint="eastAsia"/>
          <w:lang w:val="en-US" w:eastAsia="zh-CN"/>
        </w:rPr>
        <w:t>应用情况说明</w:t>
      </w:r>
      <w:bookmarkEnd w:id="38"/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236" w:lineRule="auto"/>
        <w:ind w:left="425" w:right="107" w:hanging="425" w:leftChars="0" w:rightChars="0" w:firstLineChars="0"/>
        <w:textAlignment w:val="baseline"/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四川射洪35kV香山等15座变电站技术服务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海南华能东方戈枕电厂项目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解决隔离装置代理进程“SQLproxy”假死问题。该问题会导致微信公众号、外网门户等重要系统无法正常使用，且传统依赖人工重启的方式效率低下。本工具通过自动化监测与处置，5分钟内完成故障修复，大幅提升内外网业务系统运行可靠性，改善客户体验与工作效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7932"/>
      <w:r>
        <w:rPr>
          <w:rFonts w:hint="eastAsia"/>
          <w:lang w:val="en-US" w:eastAsia="zh-CN"/>
        </w:rPr>
        <w:t>主要功能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本功能构建了一套完整的端到端自动化监控与故障处置体系，能够实时探测隔离装置代理数据库的可用性，并在探测失败时自动重启代理进程；同时自动记录探测失败日志、在监控页面集中展示，支持短信及邮件告警推送，并具备完整的日志审计能力，确保所有操作可追溯。</w:t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监控与处置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59070" cy="2442845"/>
            <wp:effectExtent l="0" t="0" r="13970" b="1079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日志记录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日志记录系统的操作情况，如下图：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6690" cy="2218055"/>
            <wp:effectExtent l="0" t="0" r="6350" b="698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短信邮件告警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短信邮件告警功能主要是实现对异常设备进行通知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73040" cy="3006725"/>
            <wp:effectExtent l="0" t="0" r="0" b="1079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日志审计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92910"/>
            <wp:effectExtent l="0" t="0" r="5080" b="1397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23729"/>
      <w:bookmarkStart w:id="41" w:name="_Toc17407"/>
      <w:r>
        <w:rPr>
          <w:rFonts w:hint="eastAsia"/>
          <w:lang w:val="en-US" w:eastAsia="zh-CN"/>
        </w:rPr>
        <w:t>指标完成情况</w:t>
      </w:r>
      <w:bookmarkEnd w:id="40"/>
      <w:bookmarkEnd w:id="4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361" w:lineRule="auto"/>
        <w:ind w:left="21" w:right="61" w:firstLine="241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pacing w:val="-4"/>
          <w:sz w:val="24"/>
          <w:szCs w:val="24"/>
          <w:lang w:val="en-US" w:eastAsia="zh-CN"/>
        </w:rPr>
        <w:t>运维服务能力指标体系中要求</w:t>
      </w:r>
      <w:r>
        <w:rPr>
          <w:rFonts w:ascii="宋体" w:eastAsia="宋体" w:hAnsi="宋体" w:cs="宋体"/>
          <w:spacing w:val="-4"/>
          <w:sz w:val="24"/>
          <w:szCs w:val="24"/>
        </w:rPr>
        <w:t>工具使用自评估数≥1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次，因为相关人员对T/CE</w:t>
      </w:r>
      <w:r>
        <w:rPr>
          <w:rFonts w:ascii="宋体" w:eastAsia="宋体" w:hAnsi="宋体" w:cs="宋体"/>
          <w:spacing w:val="-5"/>
          <w:sz w:val="24"/>
          <w:szCs w:val="24"/>
        </w:rPr>
        <w:t>SA</w:t>
      </w:r>
      <w:r>
        <w:rPr>
          <w:rFonts w:ascii="宋体" w:eastAsia="宋体" w:hAnsi="宋体" w:cs="宋体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1299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—2023  7.6.1  运维工具 c)条款内容理</w:t>
      </w:r>
      <w:r>
        <w:rPr>
          <w:rFonts w:ascii="宋体" w:eastAsia="宋体" w:hAnsi="宋体" w:cs="宋体"/>
          <w:spacing w:val="-3"/>
          <w:sz w:val="24"/>
          <w:szCs w:val="24"/>
        </w:rPr>
        <w:t>解不够</w:t>
      </w:r>
      <w:r>
        <w:rPr>
          <w:rFonts w:ascii="宋体" w:hAnsi="宋体" w:cs="宋体" w:hint="eastAsia"/>
          <w:spacing w:val="-3"/>
          <w:sz w:val="24"/>
          <w:szCs w:val="24"/>
          <w:lang w:eastAsia="zh-CN"/>
        </w:rPr>
        <w:t>，</w:t>
      </w:r>
      <w:r>
        <w:rPr>
          <w:rFonts w:ascii="宋体" w:eastAsia="宋体" w:hAnsi="宋体" w:cs="宋体"/>
          <w:spacing w:val="-3"/>
          <w:sz w:val="24"/>
          <w:szCs w:val="24"/>
        </w:rPr>
        <w:t>没有编制《运维工具使用效果自</w:t>
      </w:r>
      <w:r>
        <w:rPr>
          <w:rFonts w:ascii="宋体" w:eastAsia="宋体" w:hAnsi="宋体" w:cs="宋体"/>
          <w:spacing w:val="4"/>
          <w:sz w:val="24"/>
          <w:szCs w:val="24"/>
        </w:rPr>
        <w:t>评估报告》的模板，内审时未见运维工具效果</w:t>
      </w:r>
      <w:r>
        <w:rPr>
          <w:rFonts w:ascii="宋体" w:eastAsia="宋体" w:hAnsi="宋体" w:cs="宋体"/>
          <w:spacing w:val="3"/>
          <w:sz w:val="24"/>
          <w:szCs w:val="24"/>
        </w:rPr>
        <w:t>的自评估记录信息。2025</w:t>
      </w:r>
      <w:r>
        <w:rPr>
          <w:rFonts w:ascii="宋体" w:hAnsi="宋体" w:cs="宋体" w:hint="eastAsia"/>
          <w:spacing w:val="3"/>
          <w:sz w:val="24"/>
          <w:szCs w:val="24"/>
          <w:lang w:val="en-US" w:eastAsia="zh-CN"/>
        </w:rPr>
        <w:t>年10月</w:t>
      </w:r>
      <w:r>
        <w:rPr>
          <w:rFonts w:ascii="宋体" w:eastAsia="宋体" w:hAnsi="宋体" w:cs="宋体"/>
          <w:spacing w:val="3"/>
          <w:sz w:val="24"/>
          <w:szCs w:val="24"/>
        </w:rPr>
        <w:t>16</w:t>
      </w:r>
      <w:r>
        <w:rPr>
          <w:rFonts w:ascii="宋体" w:hAnsi="宋体" w:cs="宋体" w:hint="eastAsia"/>
          <w:spacing w:val="3"/>
          <w:sz w:val="24"/>
          <w:szCs w:val="24"/>
          <w:lang w:val="en-US" w:eastAsia="zh-CN"/>
        </w:rPr>
        <w:t>日</w:t>
      </w:r>
      <w:r>
        <w:rPr>
          <w:rFonts w:ascii="宋体" w:eastAsia="宋体" w:hAnsi="宋体" w:cs="宋体"/>
          <w:spacing w:val="-3"/>
          <w:sz w:val="24"/>
          <w:szCs w:val="24"/>
        </w:rPr>
        <w:t>运维部人员补充对运维工具的自评估记录，见《运维工具自评估报</w:t>
      </w:r>
      <w:r>
        <w:rPr>
          <w:rFonts w:ascii="宋体" w:eastAsia="宋体" w:hAnsi="宋体" w:cs="宋体"/>
          <w:spacing w:val="1"/>
          <w:sz w:val="24"/>
          <w:szCs w:val="24"/>
        </w:rPr>
        <w:t>告》。2025年</w:t>
      </w:r>
      <w:r>
        <w:rPr>
          <w:rFonts w:ascii="宋体" w:hAnsi="宋体" w:cs="宋体" w:hint="eastAsia"/>
          <w:spacing w:val="1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spacing w:val="1"/>
          <w:sz w:val="24"/>
          <w:szCs w:val="24"/>
        </w:rPr>
        <w:t>月进行了一次工具使用自评，达到了指</w:t>
      </w:r>
      <w:r>
        <w:rPr>
          <w:rFonts w:ascii="宋体" w:eastAsia="宋体" w:hAnsi="宋体" w:cs="宋体"/>
          <w:sz w:val="24"/>
          <w:szCs w:val="24"/>
        </w:rPr>
        <w:t>标要求。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6685"/>
      <w:bookmarkStart w:id="43" w:name="_Toc18957"/>
      <w:r>
        <w:rPr>
          <w:rFonts w:hint="eastAsia"/>
          <w:lang w:val="en-US" w:eastAsia="zh-CN"/>
        </w:rPr>
        <w:t>运维工具改进</w:t>
      </w:r>
      <w:bookmarkEnd w:id="42"/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使用过程中发现，运维相关人员对工具使用熟练度仍需提高，要求运维部按时组织培训等相关事宜。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D6ED67"/>
    <w:multiLevelType w:val="singleLevel"/>
    <w:tmpl w:val="A7D6ED67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</w:abstractNum>
  <w:abstractNum w:abstractNumId="2">
    <w:nsid w:val="B8726EDF"/>
    <w:multiLevelType w:val="singleLevel"/>
    <w:tmpl w:val="B8726EDF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</w:abstractNum>
  <w:abstractNum w:abstractNumId="3">
    <w:nsid w:val="0A4C2B88"/>
    <w:multiLevelType w:val="singleLevel"/>
    <w:tmpl w:val="0A4C2B88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</w:abstractNum>
  <w:abstractNum w:abstractNumId="4">
    <w:nsid w:val="3DA1EA46"/>
    <w:multiLevelType w:val="singleLevel"/>
    <w:tmpl w:val="3DA1EA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199DF76"/>
    <w:multiLevelType w:val="singleLevel"/>
    <w:tmpl w:val="4199DF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C36B6FF"/>
    <w:multiLevelType w:val="singleLevel"/>
    <w:tmpl w:val="4C36B6FF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</w:abstractNum>
  <w:abstractNum w:abstractNumId="7">
    <w:nsid w:val="65856EF9"/>
    <w:multiLevelType w:val="singleLevel"/>
    <w:tmpl w:val="65856EF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D4F8F14"/>
    <w:multiLevelType w:val="singleLevel"/>
    <w:tmpl w:val="6D4F8F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3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theme" Target="theme/theme1.xml" /><Relationship Id="rId41" Type="http://schemas.openxmlformats.org/officeDocument/2006/relationships/numbering" Target="numbering.xml" /><Relationship Id="rId42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4086</Words>
  <Characters>4470</Characters>
  <Application>Microsoft Office Word</Application>
  <DocSecurity>0</DocSecurity>
  <Lines>0</Lines>
  <Paragraphs>0</Paragraphs>
  <ScaleCrop>false</ScaleCrop>
  <Company/>
  <LinksUpToDate>false</LinksUpToDate>
  <CharactersWithSpaces>5004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2025-12-26T11:51:10Z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07FC051D12264F59A680B8B22651162F_13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