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2022"/>
      <w: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default"/>
          <w:lang w:val="en-US" w:eastAsia="zh-CN"/>
        </w:rPr>
      </w:pPr>
      <w:bookmarkStart w:id="1" w:name="_Toc17629"/>
      <w:r>
        <w:rPr>
          <w:rFonts w:hint="eastAsia"/>
          <w:lang w:val="en-US" w:eastAsia="zh-CN"/>
        </w:rPr>
        <w:t>服务台应用情况说明</w:t>
      </w:r>
      <w:bookmarkEnd w:id="1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26613"/>
      <w:r>
        <w:rPr>
          <w:rFonts w:hint="eastAsia"/>
          <w:lang w:val="en-US" w:eastAsia="zh-CN"/>
        </w:rPr>
        <w:t>（HXDL-ITSS-0810）</w:t>
      </w:r>
      <w:bookmarkEnd w:id="2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赵川华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2025.70.30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2025.70.30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2025.70.30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eastAsia="宋体" w:hAnsi="宋体" w:cs="宋体"/>
          <w:sz w:val="30"/>
          <w:szCs w:val="30"/>
        </w:rPr>
      </w:pPr>
      <w:bookmarkStart w:id="3" w:name="_Toc26147"/>
      <w:r>
        <w:rPr>
          <w:rFonts w:ascii="宋体" w:eastAsia="宋体" w:hAnsi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TableNormal00"/>
        <w:tblW w:w="9005" w:type="dxa"/>
        <w:tblInd w:w="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28"/>
        <w:gridCol w:w="1226"/>
      </w:tblGrid>
      <w:tr>
        <w:tblPrEx>
          <w:tblW w:w="9005" w:type="dxa"/>
          <w:tblInd w:w="34" w:type="dxa"/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6" w:space="0" w:color="000000"/>
            <w:insideV w:val="single" w:sz="6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/>
        </w:trPr>
        <w:tc>
          <w:tcPr>
            <w:tcW w:w="845" w:type="dxa"/>
            <w:vMerge w:val="restart"/>
            <w:tcBorders>
              <w:top w:val="single" w:sz="10" w:space="0" w:color="000000"/>
              <w:left w:val="single" w:sz="10" w:space="0" w:color="000000"/>
              <w:bottom w:val="nil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45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226" w:type="dxa"/>
            <w:vMerge w:val="restart"/>
            <w:tcBorders>
              <w:top w:val="single" w:sz="10" w:space="0" w:color="000000"/>
              <w:bottom w:val="nil"/>
              <w:right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/>
        </w:trPr>
        <w:tc>
          <w:tcPr>
            <w:tcW w:w="845" w:type="dxa"/>
            <w:vMerge/>
            <w:tcBorders>
              <w:top w:val="nil"/>
              <w:left w:val="single" w:sz="10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28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226" w:type="dxa"/>
            <w:vMerge/>
            <w:tcBorders>
              <w:top w:val="nil"/>
              <w:right w:val="single" w:sz="10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spacing w:val="-4"/>
              </w:rPr>
              <w:t>赵川华</w:t>
            </w:r>
          </w:p>
        </w:tc>
        <w:tc>
          <w:tcPr>
            <w:tcW w:w="127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spacing w:val="-1"/>
              </w:rPr>
              <w:t>2025.7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9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2025.7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0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428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2025.7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226" w:type="dxa"/>
            <w:tcBorders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428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226" w:type="dxa"/>
            <w:tcBorders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/>
        </w:trPr>
        <w:tc>
          <w:tcPr>
            <w:tcW w:w="845" w:type="dxa"/>
            <w:tcBorders>
              <w:left w:val="single" w:sz="10" w:space="0" w:color="000000"/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428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226" w:type="dxa"/>
            <w:tcBorders>
              <w:bottom w:val="single" w:sz="10" w:space="0" w:color="000000"/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8862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bookmarkStart w:id="4" w:name="_GoBack"/>
          <w:bookmarkEnd w:id="4"/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_Toc2022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_Toc2022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_Toc17629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服务台应用情况说明</w:t>
          </w:r>
          <w:r>
            <w:tab/>
          </w:r>
          <w:r>
            <w:fldChar w:fldCharType="begin"/>
          </w:r>
          <w:r>
            <w:instrText xml:space="preserve"> PAGEREF _Toc17629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_Toc26613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（HXDL-ITSS-0810）</w:t>
          </w:r>
          <w:r>
            <w:tab/>
          </w:r>
          <w:r>
            <w:fldChar w:fldCharType="begin"/>
          </w:r>
          <w:r>
            <w:instrText xml:space="preserve"> PAGEREF _Toc26613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_Toc26147 </w:instrText>
          </w:r>
          <w:r>
            <w:fldChar w:fldCharType="separate"/>
          </w:r>
          <w:r>
            <w:rPr>
              <w:rFonts w:ascii="宋体" w:eastAsia="宋体" w:hAnsi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_Toc26147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_Toc5354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服务台职责</w:t>
          </w:r>
          <w:r>
            <w:tab/>
          </w:r>
          <w:r>
            <w:fldChar w:fldCharType="begin"/>
          </w:r>
          <w:r>
            <w:instrText xml:space="preserve"> PAGEREF _Toc5354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_Toc11659 </w:instrText>
          </w:r>
          <w:r>
            <w:fldChar w:fldCharType="separate"/>
          </w:r>
          <w:r>
            <w:rPr>
              <w:rFonts w:hint="default"/>
            </w:rPr>
            <w:t xml:space="preserve">1.1. </w:t>
          </w:r>
          <w:r>
            <w:t>服务职责概述</w:t>
          </w:r>
          <w:r>
            <w:tab/>
          </w:r>
          <w:r>
            <w:fldChar w:fldCharType="begin"/>
          </w:r>
          <w:r>
            <w:instrText xml:space="preserve"> PAGEREF _Toc11659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_Toc20983 </w:instrText>
          </w:r>
          <w:r>
            <w:fldChar w:fldCharType="separate"/>
          </w:r>
          <w:r>
            <w:rPr>
              <w:rFonts w:hint="default"/>
            </w:rPr>
            <w:t xml:space="preserve">1.2. </w:t>
          </w:r>
          <w:r>
            <w:t>服务模式概述</w:t>
          </w:r>
          <w:r>
            <w:tab/>
          </w:r>
          <w:r>
            <w:fldChar w:fldCharType="begin"/>
          </w:r>
          <w:r>
            <w:instrText xml:space="preserve"> PAGEREF _Toc20983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_Toc16950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工具与记录</w:t>
          </w:r>
          <w:r>
            <w:tab/>
          </w:r>
          <w:r>
            <w:fldChar w:fldCharType="begin"/>
          </w:r>
          <w:r>
            <w:instrText xml:space="preserve"> PAGEREF _Toc16950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_Toc8100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t>智能一体化运维支撑平台 SG-I6000</w:t>
          </w:r>
          <w:r>
            <w:tab/>
          </w:r>
          <w:r>
            <w:fldChar w:fldCharType="begin"/>
          </w:r>
          <w:r>
            <w:instrText xml:space="preserve"> PAGEREF _Toc8100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_Toc26827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2.1.1. </w:t>
          </w:r>
          <w:r>
            <w:rPr>
              <w:rFonts w:hint="eastAsia"/>
              <w:lang w:val="en-US" w:eastAsia="zh-CN"/>
            </w:rPr>
            <w:t>服务台</w:t>
          </w:r>
          <w:r>
            <w:tab/>
          </w:r>
          <w:r>
            <w:fldChar w:fldCharType="begin"/>
          </w:r>
          <w:r>
            <w:instrText xml:space="preserve"> PAGEREF _Toc26827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_Toc25907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监督与管理</w:t>
          </w:r>
          <w:r>
            <w:tab/>
          </w:r>
          <w:r>
            <w:fldChar w:fldCharType="begin"/>
          </w:r>
          <w:r>
            <w:instrText xml:space="preserve"> PAGEREF _Toc25907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_Toc13270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服务台工作情况</w:t>
          </w:r>
          <w:r>
            <w:tab/>
          </w:r>
          <w:r>
            <w:fldChar w:fldCharType="begin"/>
          </w:r>
          <w:r>
            <w:instrText xml:space="preserve"> PAGEREF _Toc13270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_Toc23049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t>服务热线工作情况</w:t>
          </w:r>
          <w:r>
            <w:tab/>
          </w:r>
          <w:r>
            <w:fldChar w:fldCharType="begin"/>
          </w:r>
          <w:r>
            <w:instrText xml:space="preserve"> PAGEREF _Toc23049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_Toc22539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t>即时通讯渠道</w:t>
          </w:r>
          <w:r>
            <w:tab/>
          </w:r>
          <w:r>
            <w:fldChar w:fldCharType="begin"/>
          </w:r>
          <w:r>
            <w:instrText xml:space="preserve"> PAGEREF _Toc22539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_Toc22378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KPI完成情况</w:t>
          </w:r>
          <w:r>
            <w:tab/>
          </w:r>
          <w:r>
            <w:fldChar w:fldCharType="begin"/>
          </w:r>
          <w:r>
            <w:instrText xml:space="preserve"> PAGEREF _Toc22378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/>
    <w:p>
      <w: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5354"/>
      <w:r>
        <w:t>服务台职责</w:t>
      </w:r>
      <w:bookmarkEnd w:id="5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11659"/>
      <w:r>
        <w:t>服务职责概述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服务台专员</w:t>
      </w:r>
      <w:r>
        <w:rPr>
          <w:lang w:val="en-US" w:eastAsia="zh-CN"/>
        </w:rPr>
        <w:t>主要</w:t>
      </w:r>
      <w:r>
        <w:rPr>
          <w:rFonts w:hint="eastAsia"/>
          <w:lang w:val="en-US" w:eastAsia="zh-CN"/>
        </w:rPr>
        <w:t>工作内容如下：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lang w:val="en-US" w:eastAsia="zh-CN"/>
        </w:rPr>
      </w:pPr>
      <w:r>
        <w:rPr>
          <w:lang w:val="en-US" w:eastAsia="zh-CN"/>
        </w:rPr>
        <w:t>受理公司ERP、门户目录、协同办公、生产管理、营销类等各类信息系统的业务应用问题；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lang w:val="en-US" w:eastAsia="zh-CN"/>
        </w:rPr>
        <w:t>负责省公司本部行政电话查号、报装、维修以及桌面终端和网络的使用问题处理。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lang w:val="en-US" w:eastAsia="zh-CN"/>
        </w:rPr>
        <w:t>完成相关数据统计任务，为系统稳定运行提供支撑。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_Toc20983"/>
      <w:r>
        <w:t>服务模式概述</w:t>
      </w:r>
      <w:bookmarkEnd w:id="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服务台</w:t>
      </w:r>
      <w:r>
        <w:rPr>
          <w:lang w:val="en-US" w:eastAsia="zh-CN"/>
        </w:rPr>
        <w:t>实行“7×24小时服务响应+5×8小时值班”的双重保障制度，通过电话、邮件、客服网站等多渠道受理信息通信用户的服务请求。非工作时日，由应急坐席（通常为监控组值班员）专门对接客户的紧急业务需求，确保服务不中断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lang w:val="en-US" w:eastAsia="zh-CN"/>
        </w:rPr>
        <w:t>针对客户来电，系统会依据服务请求的业务类别，通过语音导航与自动识别功能，精准引导至对应业务坐席，由</w:t>
      </w:r>
      <w:r>
        <w:rPr>
          <w:rFonts w:hint="eastAsia"/>
          <w:lang w:val="en-US" w:eastAsia="zh-CN"/>
        </w:rPr>
        <w:t>服务台专员</w:t>
      </w:r>
      <w:r>
        <w:rPr>
          <w:lang w:val="en-US" w:eastAsia="zh-CN"/>
        </w:rPr>
        <w:t>进行受理与解答。若坐席无法直接解决问题，将以派发工单的形式转交二线运维人员处理，并同步跟踪运维结果，及时反馈给客户，形成“受理-处理-反馈”的闭环管理。对于客户桌面终端的服务请求，系统则会引导至各公司远程坐席进行专属受理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lang w:val="en-US" w:eastAsia="zh-CN"/>
        </w:rPr>
        <w:t>实行7×24小时不间断值班制度，采用四班二运转模式，每班配置信息、通信值班员各1名。值班员通过实时监视与周期巡视相结合的方式，及时捕捉系统异常情况并第一时间告知值长；在值长的监督指导下，开展业务影响情况核查、通知上传下达及数据统计分析等后续工作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heading_5"/>
      <w:bookmarkStart w:id="9" w:name="_Toc16950"/>
      <w:r>
        <w:t>工具与记录</w:t>
      </w:r>
      <w:bookmarkEnd w:id="8"/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服务台日常运营依赖专业工具平台支撑，核心工具及用途如下：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_Toc8100"/>
      <w:r>
        <w:t>智能一体化运维支撑平台 SG-I6000</w:t>
      </w:r>
      <w:bookmarkEnd w:id="10"/>
    </w:p>
    <w:p>
      <w:pPr>
        <w:pStyle w:val="3"/>
        <w:bidi w:val="0"/>
        <w:rPr>
          <w:rFonts w:hint="eastAsia"/>
          <w:lang w:val="en-US" w:eastAsia="zh-CN"/>
        </w:rPr>
      </w:pPr>
      <w:bookmarkStart w:id="11" w:name="_Toc26827"/>
      <w:r>
        <w:rPr>
          <w:rFonts w:hint="eastAsia"/>
          <w:lang w:val="en-US" w:eastAsia="zh-CN"/>
        </w:rPr>
        <w:t>服务台</w:t>
      </w:r>
      <w:bookmarkEnd w:id="1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textAlignment w:val="baseline"/>
        <w:rPr>
          <w:sz w:val="24"/>
          <w:szCs w:val="24"/>
        </w:rPr>
      </w:pPr>
      <w:r>
        <w:drawing>
          <wp:inline distT="0" distB="0" distL="114300" distR="114300">
            <wp:extent cx="4653280" cy="2230755"/>
            <wp:effectExtent l="0" t="0" r="10160" b="9525"/>
            <wp:docPr id="2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9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53280" cy="2230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服务台作为信息部门和服务客户之间的唯一联系点，提供了一个化被动管理为主动管理的有效工具，它既可以响应客户的询问和请求，也可以解决客户的故障和疑问，对事件的处理过程进行全面监控，提高事件的处理效率和客户的满意度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服务台提供受理服务请求的功能，基于客户提交的服务请求，依据统一的紧急度、影响度、优先级判断标准，将服务请求转化为事件工单，并按匹配的服务目录分配给运维团队支持。对于处理中的事件工单，服务台支持跟踪工单处理过程，支持按需进行干预（如更换处理人、强制接管、强制完成）或挂起（主要针对因客观原因无法继续处理的工单），确保服务质量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hAnsi="宋体" w:cs="宋体" w:hint="eastAsia"/>
          <w:szCs w:val="24"/>
        </w:rPr>
      </w:pPr>
      <w:r>
        <w:rPr>
          <w:rFonts w:hint="eastAsia"/>
        </w:rPr>
        <w:t>服务台目的是为了加强客户与IT服务管理之间的联系，并作为IT服务部门与客户之间的连接点。服务台可以根据客户的简单查询需求调用IT服务管理系统中已有资源或解决方案，为客户提供自助服务并自我解决部分事件；同时，服务台亦承担收集并记录客户提交的服务请求，创建并维护与事件或服务请求相关的针对性记录，并由此启动“事件管理流程”。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textAlignment w:val="baseline"/>
        <w:rPr>
          <w:rFonts w:ascii="宋体" w:hAnsi="宋体" w:cs="宋体" w:hint="eastAsia"/>
          <w:sz w:val="24"/>
          <w:szCs w:val="24"/>
        </w:rPr>
      </w:pPr>
      <w:r>
        <w:drawing>
          <wp:inline distT="0" distB="0" distL="114300" distR="114300">
            <wp:extent cx="4137660" cy="1477645"/>
            <wp:effectExtent l="0" t="0" r="7620" b="635"/>
            <wp:docPr id="39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14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37660" cy="1477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jc w:val="center"/>
        <w:textAlignment w:val="baseline"/>
        <w:rPr>
          <w:rFonts w:hint="eastAsia"/>
        </w:rPr>
      </w:pPr>
      <w:r>
        <w:rPr>
          <w:rFonts w:hint="eastAsia"/>
        </w:rPr>
        <w:t>填写故障单</w:t>
      </w:r>
    </w:p>
    <w:p>
      <w:pPr>
        <w:keepNext w:val="0"/>
        <w:keepLines w:val="0"/>
        <w:pageBreakBefore w:val="0"/>
        <w:widowControl w:val="0"/>
        <w:tabs>
          <w:tab w:val="left" w:pos="628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  <w:rPr>
          <w:rFonts w:hint="eastAsia"/>
        </w:rPr>
      </w:pPr>
    </w:p>
    <w:p>
      <w:pPr>
        <w:keepNext w:val="0"/>
        <w:keepLines w:val="0"/>
        <w:pageBreakBefore w:val="0"/>
        <w:widowControl w:val="0"/>
        <w:tabs>
          <w:tab w:val="left" w:pos="628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</w:pPr>
      <w:r>
        <w:drawing>
          <wp:inline distT="0" distB="0" distL="114300" distR="114300">
            <wp:extent cx="5270500" cy="2903220"/>
            <wp:effectExtent l="0" t="0" r="2540" b="762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0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0"/>
        <w:tabs>
          <w:tab w:val="left" w:pos="628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</w:pPr>
      <w:r>
        <w:drawing>
          <wp:inline distT="0" distB="0" distL="114300" distR="114300">
            <wp:extent cx="5270500" cy="2914650"/>
            <wp:effectExtent l="0" t="0" r="2540" b="1143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1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0"/>
        <w:tabs>
          <w:tab w:val="left" w:pos="628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sz w:val="24"/>
          <w:szCs w:val="24"/>
        </w:rPr>
      </w:pPr>
      <w:r>
        <w:rPr>
          <w:rFonts w:hint="eastAsia"/>
        </w:rPr>
        <w:t>填写故障内容，处理完成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heading_6"/>
      <w:bookmarkStart w:id="13" w:name="_Toc25907"/>
      <w:r>
        <w:t>监督与管理</w:t>
      </w:r>
      <w:bookmarkEnd w:id="12"/>
      <w:bookmarkEnd w:id="1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服务台不仅是运维服务的前端窗口，更是运维服务能力与质量管理的关键环节，其在运维管控中的作用主要体现在以下方面：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全程监控事件处理进程，通过及时协调技术、人力等各方资源，有效缩短事件解决周期，提升服务效率。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系统收集与统计运维服务能力指标数据，主动与客户就指标达成情况进行沟通，并将数据作为运维服务绩效考核的核心依据。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针对绩效考核结果中不理想的指标，组织客户、运维团队开展联合分析，精准定位问题根源，提出针对性改进措施或设立专项改进任务，并推动落地实施。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跟踪改进措施的执行结果，完成效果确认与经验总结，同时组织开展经验巩固与推广工作，实现运维服务能力的持续提升。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heading_7"/>
      <w:bookmarkStart w:id="15" w:name="_Toc13270"/>
      <w:r>
        <w:t>服务台工作情况</w:t>
      </w:r>
      <w:bookmarkEnd w:id="14"/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截止</w:t>
      </w:r>
      <w:r>
        <w:t>202</w:t>
      </w:r>
      <w:r>
        <w:rPr>
          <w:rFonts w:hint="eastAsia"/>
          <w:lang w:val="en-US" w:eastAsia="zh-CN"/>
        </w:rPr>
        <w:t>5</w:t>
      </w:r>
      <w:r>
        <w:t>年</w:t>
      </w:r>
      <w:r>
        <w:rPr>
          <w:rFonts w:hint="eastAsia"/>
          <w:lang w:val="en-US" w:eastAsia="zh-CN"/>
        </w:rPr>
        <w:t>10月</w:t>
      </w:r>
      <w:r>
        <w:t>，服务台围绕客户需求扎实开展工作，各项工作指标表现良好，具体情况如下：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heading_8"/>
      <w:bookmarkStart w:id="17" w:name="_Toc23049"/>
      <w:r>
        <w:t>服务热线工作情况</w:t>
      </w:r>
      <w:bookmarkEnd w:id="16"/>
      <w:bookmarkEnd w:id="1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累计受理客户各类申告、咨询</w:t>
      </w:r>
      <w:r>
        <w:rPr>
          <w:rFonts w:hint="eastAsia"/>
          <w:lang w:val="en-US" w:eastAsia="zh-CN"/>
        </w:rPr>
        <w:t>300余件，全部处理回复</w:t>
      </w:r>
      <w:r>
        <w:t>，实现问题“件件有回音、事事有着落”。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服务台在20秒内接通</w:t>
      </w:r>
      <w:r>
        <w:t>，有效避免客户长时间等待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提高客户满意度</w:t>
      </w:r>
      <w:r>
        <w:t>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截止目前</w:t>
      </w:r>
      <w:r>
        <w:t>受理到客户投诉，客户满意度保持高位，服务质量获得认可。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heading_9"/>
      <w:bookmarkStart w:id="19" w:name="_Toc22539"/>
      <w:r>
        <w:t>即时通讯渠道</w:t>
      </w:r>
      <w:bookmarkEnd w:id="18"/>
      <w:bookmarkEnd w:id="1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通过即时通讯渠道受理各类客户申告</w:t>
      </w:r>
      <w:r>
        <w:rPr>
          <w:rFonts w:hint="eastAsia"/>
          <w:lang w:val="en-US" w:eastAsia="zh-CN"/>
        </w:rPr>
        <w:t>200</w:t>
      </w:r>
      <w:r>
        <w:t>单，其中操作咨询类问题占比</w:t>
      </w:r>
      <w:r>
        <w:rPr>
          <w:rFonts w:hint="eastAsia"/>
          <w:lang w:val="en-US" w:eastAsia="zh-CN"/>
        </w:rPr>
        <w:t>较高</w:t>
      </w:r>
      <w:r>
        <w:t>，反映出客户对系统操作指导的需求较为集中，为后续</w:t>
      </w:r>
      <w:r>
        <w:rPr>
          <w:rFonts w:hint="eastAsia"/>
          <w:lang w:val="en-US" w:eastAsia="zh-CN"/>
        </w:rPr>
        <w:t>服务知识</w:t>
      </w:r>
      <w:r>
        <w:t>优化与针对性培训提供了方向。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20" w:name="_Toc22378"/>
      <w:r>
        <w:rPr>
          <w:rFonts w:hint="eastAsia"/>
          <w:lang w:val="en-US" w:eastAsia="zh-CN"/>
        </w:rPr>
        <w:t>KPI完成情况</w:t>
      </w:r>
      <w:bookmarkEnd w:id="2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据统计1-10月份的服务台事件共420件，回访420件，回访率达到100%，满足KPI指标要求的服务台回访率≥95%的指标。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统计第一、二和三季度的服务台派单成功率得出，派单成功率分别是95%、100%、100%。满足KPI指标要求的每季度</w:t>
      </w:r>
      <w:r>
        <w:rPr>
          <w:spacing w:val="-3"/>
          <w:sz w:val="24"/>
          <w:szCs w:val="24"/>
        </w:rPr>
        <w:t>服务台派单成功</w:t>
      </w:r>
      <w:r>
        <w:rPr>
          <w:sz w:val="24"/>
          <w:szCs w:val="24"/>
        </w:rPr>
        <w:t>率</w:t>
      </w:r>
      <w:r>
        <w:rPr>
          <w:rFonts w:hint="eastAsia"/>
          <w:lang w:val="en-US" w:eastAsia="zh-CN"/>
        </w:rPr>
        <w:t>≥95%的指标并且呈上升趋势。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numbering" Target="numbering.xml" /><Relationship Id="rId11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image" Target="media/image4.png" /><Relationship Id="rId8" Type="http://schemas.openxmlformats.org/officeDocument/2006/relationships/image" Target="media/image5.png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1879</Words>
  <Characters>2055</Characters>
  <Application>Microsoft Office Word</Application>
  <DocSecurity>0</DocSecurity>
  <Lines>0</Lines>
  <Paragraphs>0</Paragraphs>
  <ScaleCrop>false</ScaleCrop>
  <Company/>
  <LinksUpToDate>false</LinksUpToDate>
  <CharactersWithSpaces>2112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18442</dc:creator>
  <cp:lastModifiedBy>郝宇</cp:lastModifiedBy>
  <cp:revision>0</cp:revision>
  <dcterms:created xsi:type="dcterms:W3CDTF">2025-09-06T12:49:00Z</dcterms:created>
  <dcterms:modified xsi:type="dcterms:W3CDTF">2025-12-26T11:37:17Z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A7B0DB8F1B344033B028922772E6E9C0_13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