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31185"/>
      <w:bookmarkStart w:id="1" w:name="_Toc23225"/>
      <w:bookmarkStart w:id="2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-1077595</wp:posOffset>
            </wp:positionH>
            <wp:positionV relativeFrom="paragraph">
              <wp:posOffset>233680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  <w:r>
        <w:rPr>
          <w:rFonts w:hint="eastAsia"/>
          <w:lang w:val="en-US" w:eastAsia="zh-CN"/>
        </w:rPr>
        <w:t>天津市华夏电缆有限公司</w:t>
      </w:r>
      <w:bookmarkEnd w:id="0"/>
      <w:bookmarkEnd w:id="1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3" w:name="_Toc11907"/>
      <w:bookmarkStart w:id="4" w:name="_Toc25347"/>
      <w:r>
        <w:rPr>
          <w:rFonts w:hint="eastAsia"/>
          <w:lang w:val="en-US" w:eastAsia="zh-CN"/>
        </w:rPr>
        <w:t>服务数据应用情况说明</w:t>
      </w:r>
      <w:bookmarkEnd w:id="3"/>
      <w:bookmarkEnd w:id="4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5" w:name="_Toc20180"/>
      <w:bookmarkStart w:id="6" w:name="_Toc18654"/>
      <w:r>
        <w:rPr>
          <w:rFonts w:hint="eastAsia"/>
          <w:lang w:val="en-US" w:eastAsia="zh-CN"/>
        </w:rPr>
        <w:t>（HXDL-ITSS-0814）</w:t>
      </w:r>
      <w:bookmarkEnd w:id="5"/>
      <w:bookmarkEnd w:id="6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7" w:name="_Toc5549"/>
      <w:bookmarkStart w:id="8" w:name="_Toc768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7"/>
      <w:bookmarkEnd w:id="8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387"/>
        <w:gridCol w:w="1267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0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67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387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67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387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67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387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267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38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267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pStyle w:val="BodyText"/>
      </w:pPr>
    </w:p>
    <w:p>
      <w:pPr>
        <w:sectPr>
          <w:headerReference w:type="default" r:id="rId6"/>
          <w:pgSz w:w="11906" w:h="16839"/>
          <w:pgMar w:top="1097" w:right="1627" w:bottom="0" w:left="1628" w:header="1082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7764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_Toc31185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_Toc31185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_Toc11907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服务数据应用情况说明</w:t>
          </w:r>
          <w:r>
            <w:tab/>
          </w:r>
          <w:r>
            <w:fldChar w:fldCharType="begin"/>
          </w:r>
          <w:r>
            <w:instrText xml:space="preserve"> PAGEREF _Toc11907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_Toc18654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（HXDL-ITSS-0814）</w:t>
          </w:r>
          <w:r>
            <w:tab/>
          </w:r>
          <w:r>
            <w:fldChar w:fldCharType="begin"/>
          </w:r>
          <w:r>
            <w:instrText xml:space="preserve"> PAGEREF _Toc18654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_Toc5549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_Toc5549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_Toc19468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服务数据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_Toc19468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_Toc16700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严格要求</w:t>
          </w:r>
          <w:r>
            <w:rPr>
              <w:rFonts w:hint="eastAsia"/>
              <w:lang w:val="en-US" w:eastAsia="zh-CN"/>
            </w:rPr>
            <w:t>服务数据管理</w:t>
          </w:r>
          <w:r>
            <w:rPr>
              <w:rFonts w:hint="eastAsia"/>
            </w:rPr>
            <w:t>工作</w:t>
          </w:r>
          <w:r>
            <w:tab/>
          </w:r>
          <w:r>
            <w:fldChar w:fldCharType="begin"/>
          </w:r>
          <w:r>
            <w:instrText xml:space="preserve"> PAGEREF _Toc16700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_Toc3255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_Toc3255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_Toc3410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_Toc3410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spacing w:line="220" w:lineRule="auto"/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>
      <w:pPr>
        <w:spacing w:line="220" w:lineRule="auto"/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7"/>
          <w:footerReference w:type="default" r:id="rId8"/>
          <w:pgSz w:w="11906" w:h="16839"/>
          <w:pgMar w:top="400" w:right="1090" w:bottom="1157" w:left="1092" w:header="0" w:footer="990" w:gutter="0"/>
          <w:cols w:num="1" w:space="720"/>
        </w:sectPr>
      </w:pPr>
    </w:p>
    <w:p>
      <w:pPr>
        <w:pStyle w:val="1"/>
        <w:bidi w:val="0"/>
        <w:rPr>
          <w:rFonts w:hint="eastAsia"/>
        </w:rPr>
      </w:pPr>
      <w:bookmarkStart w:id="9" w:name="bookmark1"/>
      <w:bookmarkEnd w:id="9"/>
      <w:bookmarkStart w:id="10" w:name="_Toc19468"/>
      <w:bookmarkStart w:id="11" w:name="_Toc22156"/>
      <w:r>
        <w:rPr>
          <w:rFonts w:hint="eastAsia"/>
          <w:lang w:val="en-US" w:eastAsia="zh-CN"/>
        </w:rPr>
        <w:t>服务数据</w:t>
      </w:r>
      <w:r>
        <w:rPr>
          <w:rFonts w:hint="eastAsia"/>
        </w:rPr>
        <w:t>概况</w:t>
      </w:r>
      <w:bookmarkEnd w:id="10"/>
      <w:bookmarkEnd w:id="11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随着公司《服务数据管理制度》的制定和实施，明确了流程执行原则，服务数据的使用和管理能力逐渐提升。服务数据是运维过程中产生的各类数据集合，包括系统性能数据（如 CPU 使用率、响应时间）、服务台工单数据（如故障类型、处理时长）、用户反馈数据等。其核心作用是 “驱动运维从‘被动响应 ’向‘主动优化 ’转型 ”。</w:t>
      </w:r>
    </w:p>
    <w:p>
      <w:pPr>
        <w:pStyle w:val="1"/>
        <w:bidi w:val="0"/>
        <w:rPr>
          <w:rFonts w:hint="eastAsia"/>
        </w:rPr>
      </w:pPr>
      <w:bookmarkStart w:id="12" w:name="_Toc16700"/>
      <w:bookmarkStart w:id="13" w:name="_Toc24803"/>
      <w:r>
        <w:rPr>
          <w:rFonts w:hint="eastAsia"/>
        </w:rPr>
        <w:t>严格要求</w:t>
      </w:r>
      <w:r>
        <w:rPr>
          <w:rFonts w:hint="eastAsia"/>
          <w:lang w:val="en-US" w:eastAsia="zh-CN"/>
        </w:rPr>
        <w:t>服务数据管理</w:t>
      </w:r>
      <w:r>
        <w:rPr>
          <w:rFonts w:hint="eastAsia"/>
        </w:rPr>
        <w:t>工作</w:t>
      </w:r>
      <w:bookmarkEnd w:id="12"/>
      <w:bookmarkEnd w:id="13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数据采集与分析</w:t>
      </w:r>
    </w:p>
    <w:p>
      <w:pPr>
        <w:spacing w:before="266" w:line="348" w:lineRule="auto"/>
        <w:ind w:left="1" w:right="287" w:firstLine="559"/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采集范围：包括监控数据系统性能数据等。运用H3C智能管理中心进行数据采集</w:t>
      </w:r>
      <w:r>
        <w:drawing>
          <wp:inline distT="0" distB="0" distL="114300" distR="114300">
            <wp:extent cx="6039485" cy="21577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035040" cy="2996565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9552"/>
      <w:bookmarkStart w:id="15" w:name="_Toc3255"/>
      <w:r>
        <w:rPr>
          <w:rFonts w:hint="eastAsia"/>
          <w:lang w:val="en-US" w:eastAsia="zh-CN"/>
        </w:rPr>
        <w:t>指标完成情况</w:t>
      </w:r>
      <w:bookmarkEnd w:id="14"/>
      <w:bookmarkEnd w:id="15"/>
    </w:p>
    <w:p>
      <w:pPr>
        <w:spacing w:before="78" w:line="362" w:lineRule="auto"/>
        <w:ind w:left="24" w:right="123" w:firstLine="2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3"/>
          <w:sz w:val="24"/>
          <w:szCs w:val="24"/>
        </w:rPr>
        <w:t>2025年度运维服务能力管理指标体系</w:t>
      </w:r>
      <w:r>
        <w:rPr>
          <w:rFonts w:ascii="宋体" w:eastAsia="宋体" w:hAnsi="宋体" w:cs="宋体" w:hint="eastAsia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eastAsia="宋体" w:hAnsi="宋体" w:cs="宋体"/>
          <w:spacing w:val="2"/>
          <w:sz w:val="24"/>
          <w:szCs w:val="24"/>
        </w:rPr>
        <w:t>，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eastAsia="宋体" w:hAnsi="宋体" w:cs="宋体"/>
          <w:spacing w:val="-4"/>
          <w:sz w:val="24"/>
          <w:szCs w:val="24"/>
        </w:rPr>
        <w:t>。目前公司服务数据管理情况良好，但仍有提升的空间。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3410"/>
      <w:bookmarkStart w:id="17" w:name="_Toc32450"/>
      <w:r>
        <w:rPr>
          <w:rFonts w:hint="eastAsia"/>
          <w:lang w:val="en-US" w:eastAsia="zh-CN"/>
        </w:rPr>
        <w:t>问题改进</w:t>
      </w:r>
      <w:bookmarkEnd w:id="16"/>
      <w:bookmarkEnd w:id="17"/>
    </w:p>
    <w:p>
      <w:pPr>
        <w:spacing w:before="78" w:line="362" w:lineRule="auto"/>
        <w:ind w:left="24" w:right="123" w:firstLine="239"/>
        <w:rPr>
          <w:rFonts w:ascii="宋体" w:eastAsia="宋体" w:hAnsi="宋体" w:cs="宋体" w:hint="default"/>
          <w:spacing w:val="-4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4"/>
          <w:sz w:val="24"/>
          <w:szCs w:val="24"/>
        </w:rPr>
        <w:t>数据孤岛现象依然存在，部分系统的数据尚未接入数据库汇总，导致数据分析的全面性受到影响。</w:t>
      </w:r>
    </w:p>
    <w:sectPr>
      <w:headerReference w:type="default" r:id="rId11"/>
      <w:footerReference w:type="default" r:id="rId12"/>
      <w:pgSz w:w="11906" w:h="16839"/>
      <w:pgMar w:top="400" w:right="1305" w:bottom="885" w:left="1088" w:header="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49" style="height:0.75pt;margin-left:88.4pt;margin-top:54.1pt;mso-height-relative:page;mso-position-horizontal-relative:page;mso-position-vertical-relative:page;mso-width-relative:page;position:absolute;width:418.5pt;z-index:251658240" coordsize="8370,15" o:allowincell="f" path="m,7l8369,7e" filled="f" stroked="t">
          <v:stroke joinstyle="mit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3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533</Words>
  <Characters>637</Characters>
  <Application>Microsoft Office Word</Application>
  <DocSecurity>0</DocSecurity>
  <Lines>0</Lines>
  <Paragraphs>0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郝宇</cp:lastModifiedBy>
  <cp:revision>0</cp:revision>
  <dcterms:created xsi:type="dcterms:W3CDTF">2025-08-19T16:09:00Z</dcterms:created>
  <dcterms:modified xsi:type="dcterms:W3CDTF">2025-12-23T19:44:48Z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CFDE222629BE4E3F8B7CA130F736AF10_13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