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bookmarkStart w:id="0" w:name="_Toc22699"/>
      <w:bookmarkStart w:id="1" w:name="_GoBack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6393"/>
      <w:r>
        <w:rPr>
          <w:rFonts w:hint="eastAsia"/>
          <w:lang w:val="en-US" w:eastAsia="zh-CN"/>
        </w:rPr>
        <w:t>曲靖供电局110kV变电站电力监控系统网络安全态势感知系统建设-项目阶段性总结报告（HXDL-ITSS-0904）</w:t>
      </w:r>
      <w:bookmarkEnd w:id="2"/>
    </w:p>
    <w:p>
      <w:pPr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spacing w:before="98" w:line="220" w:lineRule="auto"/>
        <w:ind w:left="3195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20224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19" w:lineRule="auto"/>
              <w:ind w:left="9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9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20" w:lineRule="auto"/>
              <w:ind w:left="2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spacing w:before="177" w:line="220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spacing w:before="177" w:line="220" w:lineRule="auto"/>
              <w:ind w:left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spacing w:before="177" w:line="220" w:lineRule="auto"/>
              <w:ind w:left="2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spacing w:before="177" w:line="220" w:lineRule="auto"/>
              <w:ind w:left="4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spacing w:before="176" w:line="221" w:lineRule="auto"/>
              <w:ind w:left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spacing w:before="177" w:line="220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spacing w:before="230" w:line="237" w:lineRule="auto"/>
              <w:ind w:left="104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>
            <w:pPr>
              <w:pStyle w:val="TableText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  <w:shd w:val="clear" w:color="auto" w:fill="auto"/>
          </w:tcPr>
          <w:p>
            <w:pPr>
              <w:pStyle w:val="TableText"/>
              <w:spacing w:before="230" w:line="237" w:lineRule="auto"/>
              <w:ind w:left="104" w:leftChars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>
            <w:pPr>
              <w:pStyle w:val="TableText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  <w:shd w:val="clear" w:color="auto" w:fill="auto"/>
          </w:tcPr>
          <w:p>
            <w:pPr>
              <w:pStyle w:val="TableText"/>
              <w:spacing w:before="230" w:line="237" w:lineRule="auto"/>
              <w:ind w:left="104" w:leftChars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152" w:line="237" w:lineRule="auto"/>
              <w:ind w:left="195"/>
            </w:pPr>
          </w:p>
        </w:tc>
        <w:tc>
          <w:tcPr>
            <w:tcW w:w="881" w:type="dxa"/>
          </w:tcPr>
          <w:p>
            <w:pPr>
              <w:pStyle w:val="TableText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>
            <w:pPr>
              <w:pStyle w:val="TableText"/>
              <w:spacing w:before="152" w:line="237" w:lineRule="auto"/>
              <w:ind w:left="210"/>
            </w:pPr>
          </w:p>
        </w:tc>
        <w:tc>
          <w:tcPr>
            <w:tcW w:w="957" w:type="dxa"/>
          </w:tcPr>
          <w:p>
            <w:pPr>
              <w:pStyle w:val="TableText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>
            <w:pPr>
              <w:pStyle w:val="TableText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>
            <w:pPr>
              <w:pStyle w:val="TableText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>
            <w:pPr>
              <w:pStyle w:val="TableText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152" w:line="219" w:lineRule="auto"/>
              <w:ind w:left="436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436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803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_Toc22699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_Toc22699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_Toc26393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曲靖供电局110kV变电站电力监控系统网络安全态势感知系统建设-项目阶段性总结报告（HXDL-ITSS-0904）</w:t>
          </w:r>
          <w:r>
            <w:tab/>
          </w:r>
          <w:r>
            <w:fldChar w:fldCharType="begin"/>
          </w:r>
          <w:r>
            <w:instrText xml:space="preserve"> PAGEREF _Toc26393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_Toc20224 </w:instrText>
          </w:r>
          <w: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_Toc20224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_Toc9640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运维服务概述</w:t>
          </w:r>
          <w:r>
            <w:tab/>
          </w:r>
          <w:r>
            <w:fldChar w:fldCharType="begin"/>
          </w:r>
          <w:r>
            <w:instrText xml:space="preserve"> PAGEREF _Toc9640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_Toc24265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本阶段主要运维工作内容</w:t>
          </w:r>
          <w:r>
            <w:tab/>
          </w:r>
          <w:r>
            <w:fldChar w:fldCharType="begin"/>
          </w:r>
          <w:r>
            <w:instrText xml:space="preserve"> PAGEREF _Toc24265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</w:rPr>
            <w:t>系统监控与日常巡检</w:t>
          </w:r>
          <w:r>
            <w:tab/>
          </w:r>
          <w:r>
            <w:fldChar w:fldCharType="begin"/>
          </w:r>
          <w:r>
            <w:instrText xml:space="preserve"> PAGEREF _Toc903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_Toc20129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</w:rPr>
            <w:t>事件响应与故障处理</w:t>
          </w:r>
          <w:r>
            <w:tab/>
          </w:r>
          <w:r>
            <w:fldChar w:fldCharType="begin"/>
          </w:r>
          <w:r>
            <w:instrText xml:space="preserve"> PAGEREF _Toc20129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_Toc1094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</w:rPr>
            <w:t>系统维护与优化</w:t>
          </w:r>
          <w:r>
            <w:tab/>
          </w:r>
          <w:r>
            <w:fldChar w:fldCharType="begin"/>
          </w:r>
          <w:r>
            <w:instrText xml:space="preserve"> PAGEREF _Toc1094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_Toc5546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</w:rPr>
            <w:t>知识传递与协作</w:t>
          </w:r>
          <w:r>
            <w:tab/>
          </w:r>
          <w:r>
            <w:fldChar w:fldCharType="begin"/>
          </w:r>
          <w:r>
            <w:instrText xml:space="preserve"> PAGEREF _Toc5546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_Toc9459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运维成果与成效分析</w:t>
          </w:r>
          <w:r>
            <w:tab/>
          </w:r>
          <w:r>
            <w:fldChar w:fldCharType="begin"/>
          </w:r>
          <w:r>
            <w:instrText xml:space="preserve"> PAGEREF _Toc9459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_Toc23913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系统稳定性得到验证</w:t>
          </w:r>
          <w:r>
            <w:tab/>
          </w:r>
          <w:r>
            <w:fldChar w:fldCharType="begin"/>
          </w:r>
          <w:r>
            <w:instrText xml:space="preserve"> PAGEREF _Toc23913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_Toc12032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安全监测价值初步显现</w:t>
          </w:r>
          <w:r>
            <w:tab/>
          </w:r>
          <w:r>
            <w:fldChar w:fldCharType="begin"/>
          </w:r>
          <w:r>
            <w:instrText xml:space="preserve"> PAGEREF _Toc12032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_Toc32646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运维流程初步固化</w:t>
          </w:r>
          <w:r>
            <w:tab/>
          </w:r>
          <w:r>
            <w:fldChar w:fldCharType="begin"/>
          </w:r>
          <w:r>
            <w:instrText xml:space="preserve"> PAGEREF _Toc32646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_Toc23433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遇到的问题与改进措施</w:t>
          </w:r>
          <w:r>
            <w:tab/>
          </w:r>
          <w:r>
            <w:fldChar w:fldCharType="begin"/>
          </w:r>
          <w:r>
            <w:instrText xml:space="preserve"> PAGEREF _Toc23433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_Toc18028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下一阶段运维工作计划建议</w:t>
          </w:r>
          <w:r>
            <w:tab/>
          </w:r>
          <w:r>
            <w:fldChar w:fldCharType="begin"/>
          </w:r>
          <w:r>
            <w:instrText xml:space="preserve"> PAGEREF _Toc18028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_Toc4587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结论</w:t>
          </w:r>
          <w:r>
            <w:tab/>
          </w:r>
          <w:r>
            <w:fldChar w:fldCharType="begin"/>
          </w:r>
          <w:r>
            <w:instrText xml:space="preserve"> PAGEREF _Toc4587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1"/>
        <w:bidi w:val="0"/>
        <w:rPr>
          <w:rFonts w:hint="eastAsia"/>
        </w:rPr>
      </w:pPr>
      <w:bookmarkStart w:id="4" w:name="_Toc9640"/>
      <w:r>
        <w:rPr>
          <w:rFonts w:hint="eastAsia"/>
        </w:rPr>
        <w:t>运维服务概述</w:t>
      </w:r>
      <w:bookmarkEnd w:id="4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自曲靖供电局110kV变电站电力监控系统网络安全态势感知系统（以下简称“系统”）于2025年10月31日完成项目终验并正式交付以来，我方（云南中恒与云南腾电联合服务团队）依据运维服务协议，为该系统提供了为期两个月的首期运维保障服务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本阶段运维工作的核心目标是：确保系统从“项目交付”向“稳定运营”平稳过渡，保障系统7x24小时稳定运行，有效发挥网络安全监测与预警效能，并初步建立常态化的运维协作机制。本报告旨在对本阶段运维服务工作进行全面回顾、总结与评估。</w:t>
      </w:r>
    </w:p>
    <w:p>
      <w:pPr>
        <w:pStyle w:val="1"/>
        <w:bidi w:val="0"/>
        <w:rPr>
          <w:rFonts w:hint="eastAsia"/>
        </w:rPr>
      </w:pPr>
      <w:bookmarkStart w:id="5" w:name="_Toc24265"/>
      <w:r>
        <w:rPr>
          <w:rFonts w:hint="eastAsia"/>
        </w:rPr>
        <w:t>本阶段主要运维工作内容</w:t>
      </w:r>
      <w:bookmarkEnd w:id="5"/>
    </w:p>
    <w:p>
      <w:pPr>
        <w:pStyle w:val="2"/>
        <w:bidi w:val="0"/>
        <w:rPr>
          <w:rFonts w:hint="eastAsia"/>
        </w:rPr>
      </w:pPr>
      <w:bookmarkStart w:id="6" w:name="_Toc903"/>
      <w:r>
        <w:rPr>
          <w:rFonts w:hint="eastAsia"/>
        </w:rPr>
        <w:t>系统监控与日常巡检</w:t>
      </w:r>
      <w:bookmarkEnd w:id="6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实施情况： 建立了每日、每周两级巡检制度。每日通过平台自监控模块检查核心服务进程、数据采集流量、存储空间及CPU/内存使用率；每周进行深度巡检，包括日志完整性分析、规则库更新状态核查及备份任务验证。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关键数据： 本阶段累计执行日常巡检62次，周度深度巡检9次，生成巡检报告71份。系统核心服务可用性持续保持在99.95% 以上。</w:t>
      </w:r>
    </w:p>
    <w:p>
      <w:pPr>
        <w:pStyle w:val="2"/>
        <w:bidi w:val="0"/>
        <w:rPr>
          <w:rFonts w:hint="eastAsia"/>
        </w:rPr>
      </w:pPr>
      <w:bookmarkStart w:id="7" w:name="_Toc20129"/>
      <w:r>
        <w:rPr>
          <w:rFonts w:hint="eastAsia"/>
        </w:rPr>
        <w:t>事件响应与故障处理</w:t>
      </w:r>
      <w:bookmarkEnd w:id="7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实施情况： 提供7x24小时应急响应通道。共接收并处理各类告警及事件单15起，其中：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安全事件告警： 8起（经分析，7起为误报或低风险扫描行为，1起为内部策略违规访问，已协助闭环处置）。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系统性能告警： 5起（主要为特定时段数据峰值导致的分析延迟，通过优化队列策略已解决）。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采集异常： 2起（1起为网络波动导致，1起为探针配置漂移，均已快速恢复）。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关键指标： 所有事件均实现100%响应，严重及以上事件（如有）的解决时间满足SLA要求（&lt;4小时）。平均事件解决时长（MTTR）为 2.1小时。</w:t>
      </w:r>
    </w:p>
    <w:p>
      <w:pPr>
        <w:pStyle w:val="2"/>
        <w:bidi w:val="0"/>
        <w:rPr>
          <w:rFonts w:hint="eastAsia"/>
        </w:rPr>
      </w:pPr>
      <w:bookmarkStart w:id="8" w:name="_Toc1094"/>
      <w:r>
        <w:rPr>
          <w:rFonts w:hint="eastAsia"/>
        </w:rPr>
        <w:t>系统维护与优化</w:t>
      </w:r>
      <w:bookmarkEnd w:id="8"/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实施情况：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规则与模型优化： 根据初期运行产生的告警数据，协同甲方安全分析人员，对3条产生高频误报的检测规则进行了阈值调优，误报率下降约40%。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性能调优： 针对试运行期间发现的特定复杂查询响应较慢的问题，对数据库索引进行了优化，相关场景查询效率提升约60%。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补丁与更新： 在甲方批准的维护窗口内，完成了态势感知平台一次小版本补丁更新，修复了已知的次要缺陷。</w:t>
      </w:r>
    </w:p>
    <w:p>
      <w:pPr>
        <w:pStyle w:val="2"/>
        <w:bidi w:val="0"/>
        <w:rPr>
          <w:rFonts w:hint="eastAsia"/>
        </w:rPr>
      </w:pPr>
      <w:bookmarkStart w:id="9" w:name="_Toc5546"/>
      <w:r>
        <w:rPr>
          <w:rFonts w:hint="eastAsia"/>
        </w:rPr>
        <w:t>知识传递与协作</w:t>
      </w:r>
      <w:bookmarkEnd w:id="9"/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实施情况： 组织了2次专题培训，内容分别为“平台日常运维操作进阶”和“典型安全事件分析案例复盘”。同时，通过日常事件处置的“实战带教”，持续向甲方运维团队传递经验。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协作机制： 建立了“运维协作群”作为日常沟通主渠道，并坚持每周进行一次运维周会，同步状态、对齐问题、规划工作，运行顺畅。</w:t>
      </w:r>
    </w:p>
    <w:p>
      <w:pPr>
        <w:pStyle w:val="1"/>
        <w:bidi w:val="0"/>
        <w:rPr>
          <w:rFonts w:hint="eastAsia"/>
        </w:rPr>
      </w:pPr>
      <w:bookmarkStart w:id="10" w:name="_Toc9459"/>
      <w:r>
        <w:rPr>
          <w:rFonts w:hint="eastAsia"/>
        </w:rPr>
        <w:t>运维成果与成效分析</w:t>
      </w:r>
      <w:bookmarkEnd w:id="10"/>
    </w:p>
    <w:p>
      <w:pPr>
        <w:pStyle w:val="2"/>
        <w:bidi w:val="0"/>
        <w:rPr>
          <w:rFonts w:hint="eastAsia"/>
        </w:rPr>
      </w:pPr>
      <w:bookmarkStart w:id="11" w:name="_Toc23913"/>
      <w:r>
        <w:rPr>
          <w:rFonts w:hint="eastAsia"/>
        </w:rPr>
        <w:t>系统稳定性得到验证</w:t>
      </w:r>
      <w:bookmarkEnd w:id="11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经过两个月的连续运行，系统硬件、软件及架构层面均未出现重大故障，高可用机制在计划内重启测试中切换成功，验证了前期建设与扩容成果的可靠性。</w:t>
      </w:r>
    </w:p>
    <w:p>
      <w:pPr>
        <w:pStyle w:val="2"/>
        <w:bidi w:val="0"/>
        <w:rPr>
          <w:rFonts w:hint="eastAsia"/>
        </w:rPr>
      </w:pPr>
      <w:bookmarkStart w:id="12" w:name="_Toc12032"/>
      <w:r>
        <w:rPr>
          <w:rFonts w:hint="eastAsia"/>
        </w:rPr>
        <w:t>安全监测价值初步显现</w:t>
      </w:r>
      <w:bookmarkEnd w:id="12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系统累计采集并分析安全日志超</w:t>
      </w:r>
      <w:r>
        <w:rPr>
          <w:rFonts w:hint="eastAsia"/>
          <w:lang w:val="en-US" w:eastAsia="zh-CN"/>
        </w:rPr>
        <w:t>千</w:t>
      </w:r>
      <w:r>
        <w:rPr>
          <w:rFonts w:hint="eastAsia"/>
        </w:rPr>
        <w:t>条，初步构建了变电站监控网络的安全基线。成功识别并协助处置1起内部策略违规事件，证明了系统在发现“违规”和“异常”方面的能力，安全价值开始体现。</w:t>
      </w:r>
    </w:p>
    <w:p>
      <w:pPr>
        <w:pStyle w:val="2"/>
        <w:bidi w:val="0"/>
        <w:rPr>
          <w:rFonts w:hint="eastAsia"/>
        </w:rPr>
      </w:pPr>
      <w:bookmarkStart w:id="13" w:name="_Toc32646"/>
      <w:r>
        <w:rPr>
          <w:rFonts w:hint="eastAsia"/>
        </w:rPr>
        <w:t>运维流程初步固化</w:t>
      </w:r>
      <w:bookmarkEnd w:id="13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双方团队共同磨合，形成了从“事件发现-&gt;通报确认-&gt;联合分析-&gt;处置闭环-&gt;报告归档”的初步协同流程，为后续长期自主运维与托管服务相结合的模式奠定了基础。</w:t>
      </w:r>
    </w:p>
    <w:p>
      <w:pPr>
        <w:pStyle w:val="1"/>
        <w:bidi w:val="0"/>
        <w:rPr>
          <w:rFonts w:hint="eastAsia"/>
        </w:rPr>
      </w:pPr>
      <w:bookmarkStart w:id="14" w:name="_Toc23433"/>
      <w:r>
        <w:rPr>
          <w:rFonts w:hint="eastAsia"/>
        </w:rPr>
        <w:t>遇到的问题与改进措施</w:t>
      </w:r>
      <w:bookmarkEnd w:id="14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3"/>
        <w:gridCol w:w="1627"/>
        <w:gridCol w:w="2092"/>
        <w:gridCol w:w="2131"/>
        <w:gridCol w:w="2225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原因分析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已采取的改进措施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后续建议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部分威胁告警规则误报率偏高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初期规则阈值基于通用场景设定，未完全贴合本地网络实际流量模式。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结合本地流量白名单和业务特征，对相关规则进行了参数调优。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建议建立定期的规则评审与优化机制（如每季度一次），持续打磨检测精准度。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甲方运维人员对深度分析功能使用不熟练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项目培训偏重基础操作，实战分析经验需积累。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通过案例复盘进行针对性带教，并提供了常见分析场景的“操作手册”。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计划下一阶段开展“威胁狩猎”专项培训，提升主动发现能力。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运维数据（如报表）未能完全对接甲方管理需求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初期报表模板为通用格式。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已收集甲方管理层的具体报表需求，正在定制开发2张管理视图。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建议建立常态化的需求反馈渠道，使运维输出更好地服务于管理决策。</w:t>
            </w:r>
          </w:p>
        </w:tc>
      </w:tr>
    </w:tbl>
    <w:p>
      <w:pPr>
        <w:pStyle w:val="1"/>
        <w:bidi w:val="0"/>
        <w:rPr>
          <w:rFonts w:hint="eastAsia"/>
        </w:rPr>
      </w:pPr>
      <w:bookmarkStart w:id="15" w:name="_Toc18028"/>
      <w:r>
        <w:rPr>
          <w:rFonts w:hint="eastAsia"/>
        </w:rPr>
        <w:t>下一阶段运维工作计划建议</w:t>
      </w:r>
      <w:bookmarkEnd w:id="15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基于本阶段总结，对下一阶段（2026年第一季度）运维工作提出以下计划建议：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深化主动运维： 从“保障稳定”向“赋能业务”延伸。重点开展资产脆弱性关联分析，将态势感知数据与漏洞扫描结果结合，输出更具针对性的风险修复建议。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开展专项演练： 计划在2026年Q1组织一次小范围的网络安全监测与响应桌面推演，检验并优化应急预案和协同流程。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完善知识库： 系统化梳理本阶段遇到的事件及解决方案，初步构建该系统的“本地化知识库”，降低对核心人员的依赖。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性能容量评估： 对系统运行至第一季度的性能与容量数据进行趋势分析，评估现有资源对未来半年业务增长的支撑能力，必要时提前规划调整。</w:t>
      </w:r>
    </w:p>
    <w:p>
      <w:pPr>
        <w:pStyle w:val="1"/>
        <w:bidi w:val="0"/>
        <w:rPr>
          <w:rFonts w:hint="eastAsia"/>
        </w:rPr>
      </w:pPr>
      <w:bookmarkStart w:id="16" w:name="_Toc4587"/>
      <w:r>
        <w:rPr>
          <w:rFonts w:hint="eastAsia"/>
        </w:rPr>
        <w:t>结论</w:t>
      </w:r>
      <w:bookmarkEnd w:id="16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总体而言，本阶段运维服务达成了保障系统平稳过渡、稳定运行的核心目标。系统运行稳定，监测功能有效，初步建立了高效的运维协同机制。我方团队展现出专业的技术能力和积极的协作态度。</w:t>
      </w:r>
    </w:p>
    <w:p>
      <w:pPr>
        <w:pStyle w:val="a1"/>
        <w:bidi w:val="0"/>
      </w:pPr>
      <w:r>
        <w:rPr>
          <w:rFonts w:hint="eastAsia"/>
        </w:rPr>
        <w:t>对于运行中暴露的误报优化、人员能力深化等预期内的问题，已通过有效协作进行了改进。下一阶段，运维工作重心将从“保稳定”逐步转向“促深化”和“提价值”，以充分发挥系统在曲靖供电局网络安全体系中的核心作用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2352</Words>
  <Characters>2525</Characters>
  <Application>Microsoft Office Word</Application>
  <DocSecurity>0</DocSecurity>
  <Lines>0</Lines>
  <Paragraphs>0</Paragraphs>
  <ScaleCrop>false</ScaleCrop>
  <Company/>
  <LinksUpToDate>false</LinksUpToDate>
  <CharactersWithSpaces>2604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2025-12-12T05:28:00Z</dcterms:created>
  <dcterms:modified xsi:type="dcterms:W3CDTF">2025-12-23T19:45:46Z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86D88245EFDC4F8CBCC62B97C8E7A2D5_11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