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74B8A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6753CBE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运维服务质量管理报告</w:t>
      </w:r>
    </w:p>
    <w:p w14:paraId="528C0D0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（HXDL-ITSS-0418）</w:t>
      </w:r>
    </w:p>
    <w:p w14:paraId="13291ADD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8D8C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284FAD3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4C32D6C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042D3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0B2B447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22463A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14CF5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239F48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359F7F97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037B2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648F45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7E86D0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91FC286">
            <w:pPr>
              <w:spacing w:line="350" w:lineRule="auto"/>
              <w:rPr>
                <w:rFonts w:ascii="Arial"/>
                <w:sz w:val="21"/>
              </w:rPr>
            </w:pPr>
          </w:p>
          <w:p w14:paraId="4DA60A34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DF8C2AE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27A7482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097339D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014F0A30">
            <w:pPr>
              <w:spacing w:line="350" w:lineRule="auto"/>
              <w:rPr>
                <w:rFonts w:ascii="Arial"/>
                <w:sz w:val="21"/>
              </w:rPr>
            </w:pPr>
          </w:p>
          <w:p w14:paraId="361CD517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5F8C5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2AF637D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112BC89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1011586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903F7A3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757BC5CD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AB2C55C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0D8FB0B9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292AE7CB">
            <w:pPr>
              <w:rPr>
                <w:rFonts w:ascii="Arial"/>
                <w:sz w:val="21"/>
              </w:rPr>
            </w:pPr>
          </w:p>
        </w:tc>
      </w:tr>
      <w:tr w14:paraId="1A62B2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4899D70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5CF7018B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22544D2B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.30</w:t>
            </w:r>
          </w:p>
        </w:tc>
        <w:tc>
          <w:tcPr>
            <w:tcW w:w="957" w:type="dxa"/>
          </w:tcPr>
          <w:p w14:paraId="5CDC43C5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17E17509">
            <w:pPr>
              <w:pStyle w:val="27"/>
              <w:spacing w:before="230" w:line="237" w:lineRule="auto"/>
              <w:ind w:left="161"/>
              <w:rPr>
                <w:rFonts w:hint="default"/>
                <w:lang w:val="en-US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.30</w:t>
            </w:r>
          </w:p>
        </w:tc>
        <w:tc>
          <w:tcPr>
            <w:tcW w:w="1017" w:type="dxa"/>
          </w:tcPr>
          <w:p w14:paraId="6414552F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5BFEDBFA">
            <w:pPr>
              <w:pStyle w:val="27"/>
              <w:spacing w:before="230" w:line="237" w:lineRule="auto"/>
              <w:ind w:left="220"/>
              <w:rPr>
                <w:rFonts w:hint="default"/>
                <w:lang w:val="en-US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F535243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0E6A36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6D282EC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65864231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54F48DD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EF91542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654AB31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2F825D6D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64FBB163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38560F13">
            <w:pPr>
              <w:pStyle w:val="27"/>
              <w:spacing w:before="152" w:line="219" w:lineRule="auto"/>
              <w:ind w:left="436"/>
            </w:pPr>
          </w:p>
        </w:tc>
      </w:tr>
      <w:tr w14:paraId="55E75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317CD882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00B43CD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7CB2736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929F99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8C04B46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585ED65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70A10649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270CBD6C">
            <w:pPr>
              <w:pStyle w:val="27"/>
              <w:spacing w:before="157" w:line="219" w:lineRule="auto"/>
              <w:ind w:left="436"/>
            </w:pPr>
          </w:p>
        </w:tc>
      </w:tr>
    </w:tbl>
    <w:p w14:paraId="22FE9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DCFB4A">
      <w:pPr>
        <w:pStyle w:val="30"/>
        <w:bidi w:val="0"/>
      </w:pPr>
      <w:bookmarkStart w:id="0" w:name="_Toc19128"/>
      <w:r>
        <w:t>目的</w:t>
      </w:r>
      <w:bookmarkEnd w:id="0"/>
    </w:p>
    <w:p w14:paraId="208D56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依据我公司运维服务业务定位和能力，策划</w:t>
      </w:r>
      <w:r>
        <w:rPr>
          <w:rFonts w:ascii="宋体" w:hAnsi="宋体" w:eastAsia="宋体" w:cs="宋体"/>
          <w:spacing w:val="-1"/>
          <w:sz w:val="24"/>
          <w:szCs w:val="24"/>
        </w:rPr>
        <w:t>运行维护服务对象的服务内容</w:t>
      </w:r>
      <w:r>
        <w:rPr>
          <w:rFonts w:ascii="宋体" w:hAnsi="宋体" w:eastAsia="宋体" w:cs="宋体"/>
          <w:spacing w:val="-4"/>
          <w:sz w:val="24"/>
          <w:szCs w:val="24"/>
        </w:rPr>
        <w:t>和要求，特编制此报告。</w:t>
      </w:r>
    </w:p>
    <w:p w14:paraId="1FD71831">
      <w:pPr>
        <w:pStyle w:val="30"/>
        <w:bidi w:val="0"/>
      </w:pPr>
      <w:bookmarkStart w:id="1" w:name="_Toc3319"/>
      <w:r>
        <w:t>适用范围</w:t>
      </w:r>
      <w:bookmarkEnd w:id="1"/>
    </w:p>
    <w:p w14:paraId="5D428D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本手册适用于本公司参与运维服务业务的部门和人员</w:t>
      </w:r>
    </w:p>
    <w:p w14:paraId="36F577E7">
      <w:pPr>
        <w:pStyle w:val="30"/>
        <w:bidi w:val="0"/>
      </w:pPr>
      <w:bookmarkStart w:id="2" w:name="_Toc2355"/>
      <w:r>
        <w:t>引用文件</w:t>
      </w:r>
      <w:bookmarkEnd w:id="2"/>
    </w:p>
    <w:p w14:paraId="4DEA8A4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1.</w:t>
      </w:r>
      <w:r>
        <w:rPr>
          <w:rFonts w:ascii="宋体" w:hAnsi="宋体" w:eastAsia="宋体" w:cs="宋体"/>
          <w:spacing w:val="8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T/CESA 1299—2023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《信息技术服务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运行维护服务能力成熟度模型》</w:t>
      </w:r>
    </w:p>
    <w:p w14:paraId="61E1CA3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2.</w:t>
      </w:r>
      <w:r>
        <w:rPr>
          <w:rFonts w:ascii="宋体" w:hAnsi="宋体" w:eastAsia="宋体" w:cs="宋体"/>
          <w:spacing w:val="6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GB/T 28827.1-20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pacing w:val="-1"/>
          <w:sz w:val="24"/>
          <w:szCs w:val="24"/>
        </w:rPr>
        <w:t>2 《信息技术服</w:t>
      </w:r>
      <w:r>
        <w:rPr>
          <w:rFonts w:ascii="宋体" w:hAnsi="宋体" w:eastAsia="宋体" w:cs="宋体"/>
          <w:spacing w:val="-2"/>
          <w:sz w:val="24"/>
          <w:szCs w:val="24"/>
        </w:rPr>
        <w:t>务 运行维护 第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部分：通用要求》</w:t>
      </w:r>
    </w:p>
    <w:p w14:paraId="374831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3.</w:t>
      </w:r>
      <w:r>
        <w:rPr>
          <w:rFonts w:ascii="宋体" w:hAnsi="宋体" w:eastAsia="宋体" w:cs="宋体"/>
          <w:spacing w:val="6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GB/T 28827.2-2012 《信息技术服务 运行维护 第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部分:交</w:t>
      </w:r>
      <w:r>
        <w:rPr>
          <w:rFonts w:ascii="宋体" w:hAnsi="宋体" w:eastAsia="宋体" w:cs="宋体"/>
          <w:spacing w:val="-2"/>
          <w:sz w:val="24"/>
          <w:szCs w:val="24"/>
        </w:rPr>
        <w:t>付规范》</w:t>
      </w:r>
    </w:p>
    <w:p w14:paraId="1F774F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4.</w:t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GB/T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28827.3-2012 《信息技术服务</w:t>
      </w:r>
      <w:r>
        <w:rPr>
          <w:rFonts w:ascii="宋体" w:hAnsi="宋体" w:eastAsia="宋体" w:cs="宋体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</w:t>
      </w:r>
      <w:r>
        <w:rPr>
          <w:rFonts w:ascii="宋体" w:hAnsi="宋体" w:eastAsia="宋体" w:cs="宋体"/>
          <w:spacing w:val="-2"/>
          <w:sz w:val="24"/>
          <w:szCs w:val="24"/>
        </w:rPr>
        <w:t>维护</w:t>
      </w:r>
      <w:r>
        <w:rPr>
          <w:rFonts w:ascii="宋体" w:hAnsi="宋体" w:eastAsia="宋体" w:cs="宋体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第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部分:应急响应规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07A982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5.</w:t>
      </w:r>
      <w:r>
        <w:rPr>
          <w:rFonts w:ascii="宋体" w:hAnsi="宋体" w:eastAsia="宋体" w:cs="宋体"/>
          <w:spacing w:val="7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GB/T 29264-2012 《信息技术服务 分类与代码》</w:t>
      </w:r>
    </w:p>
    <w:p w14:paraId="1564D4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68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pacing w:val="-3"/>
          <w:sz w:val="24"/>
          <w:szCs w:val="24"/>
        </w:rPr>
        <w:t>.</w:t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国家有关法律、法规及行业标准</w:t>
      </w:r>
    </w:p>
    <w:p w14:paraId="491F14CC">
      <w:pPr>
        <w:pStyle w:val="30"/>
        <w:bidi w:val="0"/>
      </w:pPr>
      <w:bookmarkStart w:id="3" w:name="_Toc5127"/>
      <w:r>
        <w:t>术语与定义</w:t>
      </w:r>
      <w:bookmarkEnd w:id="3"/>
    </w:p>
    <w:p w14:paraId="37B9F154">
      <w:pPr>
        <w:spacing w:before="120" w:line="220" w:lineRule="auto"/>
        <w:ind w:left="7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4DF2ABD3">
      <w:pPr>
        <w:pStyle w:val="30"/>
        <w:bidi w:val="0"/>
      </w:pPr>
      <w:bookmarkStart w:id="4" w:name="_Toc23453"/>
      <w:r>
        <w:t>角色与职责</w:t>
      </w:r>
      <w:bookmarkEnd w:id="4"/>
    </w:p>
    <w:p w14:paraId="228AFE1E">
      <w:pPr>
        <w:spacing w:line="76" w:lineRule="exact"/>
      </w:pPr>
    </w:p>
    <w:tbl>
      <w:tblPr>
        <w:tblStyle w:val="28"/>
        <w:tblW w:w="852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422"/>
        <w:gridCol w:w="3257"/>
      </w:tblGrid>
      <w:tr w14:paraId="01F8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842" w:type="dxa"/>
            <w:shd w:val="clear" w:color="auto" w:fill="BFBFBF"/>
          </w:tcPr>
          <w:p w14:paraId="4B65F157">
            <w:pPr>
              <w:pStyle w:val="27"/>
              <w:spacing w:before="59" w:line="219" w:lineRule="auto"/>
              <w:ind w:left="121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422" w:type="dxa"/>
            <w:shd w:val="clear" w:color="auto" w:fill="BFBFBF"/>
          </w:tcPr>
          <w:p w14:paraId="211483B9">
            <w:pPr>
              <w:pStyle w:val="27"/>
              <w:spacing w:before="59" w:line="221" w:lineRule="auto"/>
              <w:ind w:left="100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257" w:type="dxa"/>
            <w:shd w:val="clear" w:color="auto" w:fill="BFBFBF"/>
          </w:tcPr>
          <w:p w14:paraId="4E6A71C4">
            <w:pPr>
              <w:pStyle w:val="27"/>
              <w:spacing w:before="59" w:line="219" w:lineRule="auto"/>
              <w:ind w:right="2"/>
              <w:jc w:val="right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 w14:paraId="5ACDC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842" w:type="dxa"/>
          </w:tcPr>
          <w:p w14:paraId="1A618169">
            <w:pPr>
              <w:pStyle w:val="27"/>
              <w:spacing w:before="57" w:line="220" w:lineRule="auto"/>
              <w:ind w:left="11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422" w:type="dxa"/>
          </w:tcPr>
          <w:p w14:paraId="7BA187E1">
            <w:pPr>
              <w:pStyle w:val="27"/>
              <w:spacing w:before="58" w:line="218" w:lineRule="auto"/>
              <w:ind w:left="11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负责报告的编写及完善</w:t>
            </w:r>
          </w:p>
        </w:tc>
        <w:tc>
          <w:tcPr>
            <w:tcW w:w="3257" w:type="dxa"/>
          </w:tcPr>
          <w:p w14:paraId="68F52AAE">
            <w:pPr>
              <w:pStyle w:val="27"/>
              <w:spacing w:before="57" w:line="220" w:lineRule="auto"/>
              <w:ind w:left="114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pacing w:val="-2"/>
                <w:sz w:val="21"/>
                <w:szCs w:val="21"/>
              </w:rPr>
              <w:t>质量部</w:t>
            </w:r>
            <w:r>
              <w:rPr>
                <w:rFonts w:hint="eastAsia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 w14:paraId="74DDE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842" w:type="dxa"/>
          </w:tcPr>
          <w:p w14:paraId="13363033">
            <w:pPr>
              <w:pStyle w:val="27"/>
              <w:spacing w:before="60" w:line="220" w:lineRule="auto"/>
              <w:ind w:left="11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2422" w:type="dxa"/>
          </w:tcPr>
          <w:p w14:paraId="3CC25353">
            <w:pPr>
              <w:pStyle w:val="27"/>
              <w:spacing w:before="59" w:line="220" w:lineRule="auto"/>
              <w:ind w:left="11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负责审核</w:t>
            </w:r>
          </w:p>
        </w:tc>
        <w:tc>
          <w:tcPr>
            <w:tcW w:w="3257" w:type="dxa"/>
          </w:tcPr>
          <w:p w14:paraId="26A6B54E">
            <w:pPr>
              <w:pStyle w:val="27"/>
              <w:spacing w:before="59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副总经理</w:t>
            </w:r>
          </w:p>
        </w:tc>
      </w:tr>
      <w:tr w14:paraId="5A882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842" w:type="dxa"/>
          </w:tcPr>
          <w:p w14:paraId="09FC6076">
            <w:pPr>
              <w:pStyle w:val="27"/>
              <w:spacing w:before="62" w:line="220" w:lineRule="auto"/>
              <w:ind w:left="121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2422" w:type="dxa"/>
          </w:tcPr>
          <w:p w14:paraId="50475686">
            <w:pPr>
              <w:pStyle w:val="27"/>
              <w:spacing w:before="61" w:line="220" w:lineRule="auto"/>
              <w:ind w:left="11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负责审批</w:t>
            </w:r>
          </w:p>
        </w:tc>
        <w:tc>
          <w:tcPr>
            <w:tcW w:w="3257" w:type="dxa"/>
          </w:tcPr>
          <w:p w14:paraId="543C5AAE">
            <w:pPr>
              <w:pStyle w:val="27"/>
              <w:spacing w:before="62" w:line="225" w:lineRule="auto"/>
              <w:ind w:left="11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总经理</w:t>
            </w:r>
          </w:p>
        </w:tc>
      </w:tr>
    </w:tbl>
    <w:p w14:paraId="35FD3982">
      <w:pPr>
        <w:pStyle w:val="12"/>
        <w:spacing w:line="355" w:lineRule="auto"/>
      </w:pPr>
    </w:p>
    <w:p w14:paraId="54D764AA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服务质量活动管理</w:t>
      </w:r>
    </w:p>
    <w:p w14:paraId="1688E0A9">
      <w:pPr>
        <w:pStyle w:val="31"/>
        <w:bidi w:val="0"/>
      </w:pPr>
      <w:r>
        <w:rPr>
          <w:rFonts w:hint="eastAsia"/>
          <w:lang w:val="en-US" w:eastAsia="zh-CN"/>
        </w:rPr>
        <w:t>内部评审</w:t>
      </w:r>
    </w:p>
    <w:p w14:paraId="21B3FA46">
      <w:pPr>
        <w:pStyle w:val="29"/>
        <w:bidi w:val="0"/>
        <w:rPr>
          <w:rFonts w:hint="default"/>
          <w:lang w:val="en-US" w:eastAsia="zh-CN"/>
        </w:rPr>
      </w:pPr>
      <w:r>
        <w:t>公司准备在202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月进行ITSS体系的</w:t>
      </w:r>
      <w:r>
        <w:rPr>
          <w:rFonts w:hint="eastAsia"/>
          <w:lang w:val="en-US" w:eastAsia="zh-CN"/>
        </w:rPr>
        <w:t>新版</w:t>
      </w:r>
      <w:r>
        <w:t>评估工作，在 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</w:t>
      </w:r>
      <w:r>
        <w:rPr>
          <w:rFonts w:hint="eastAsia"/>
          <w:lang w:val="en-US" w:eastAsia="zh-CN"/>
        </w:rPr>
        <w:t>15</w:t>
      </w:r>
      <w:r>
        <w:t>日至</w:t>
      </w:r>
      <w:r>
        <w:rPr>
          <w:rFonts w:hint="eastAsia"/>
          <w:lang w:val="en-US" w:eastAsia="zh-CN"/>
        </w:rPr>
        <w:t>16</w:t>
      </w:r>
      <w:r>
        <w:t>日举行了一次外审前的内审活动，涉及公司运维相关各部门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内审覆盖率达到100%。发现了一项不符合为一般不符合。</w:t>
      </w:r>
      <w:r>
        <w:t>针对不符合项</w:t>
      </w:r>
      <w:r>
        <w:rPr>
          <w:rFonts w:hint="eastAsia"/>
          <w:lang w:val="en-US" w:eastAsia="zh-CN"/>
        </w:rPr>
        <w:t>进行改进。要求对运维工具管理制度进行培训，并由质量部加强监督</w:t>
      </w:r>
    </w:p>
    <w:p w14:paraId="32D0E00B">
      <w:pPr>
        <w:pStyle w:val="31"/>
        <w:bidi w:val="0"/>
      </w:pPr>
      <w:r>
        <w:rPr>
          <w:rFonts w:hint="eastAsia"/>
          <w:lang w:val="en-US" w:eastAsia="zh-CN"/>
        </w:rPr>
        <w:t>管理评审</w:t>
      </w:r>
    </w:p>
    <w:p w14:paraId="46182313">
      <w:pPr>
        <w:pStyle w:val="29"/>
        <w:bidi w:val="0"/>
      </w:pPr>
      <w:r>
        <w:t>公司管理评审在公司各部门的积极配合下圆满地结束了，对本次管理评审公司各相关部门做了周密的安排，参加会议的各部门人员也做了充分的准备，对公司的运维管理目标进行了认真的评议，全面</w:t>
      </w:r>
      <w:r>
        <w:rPr>
          <w:rFonts w:hint="eastAsia"/>
          <w:lang w:eastAsia="zh-CN"/>
        </w:rPr>
        <w:t>地</w:t>
      </w:r>
      <w:r>
        <w:t>总结了公司运维能力体系的运行情况，肯定了质量管理体系运行的适宜性、有效性。通过这次管理评审，总结了经验，将更有力</w:t>
      </w:r>
      <w:r>
        <w:rPr>
          <w:rFonts w:hint="eastAsia"/>
          <w:lang w:eastAsia="zh-CN"/>
        </w:rPr>
        <w:t>地</w:t>
      </w:r>
      <w:bookmarkStart w:id="7" w:name="_GoBack"/>
      <w:bookmarkEnd w:id="7"/>
      <w:r>
        <w:t>推动公司持续发展。</w:t>
      </w:r>
    </w:p>
    <w:p w14:paraId="4890DAF1">
      <w:pPr>
        <w:pStyle w:val="31"/>
        <w:bidi w:val="0"/>
      </w:pPr>
      <w:bookmarkStart w:id="5" w:name="_Toc3257"/>
      <w:r>
        <w:t>满意度调查</w:t>
      </w:r>
      <w:bookmarkEnd w:id="5"/>
    </w:p>
    <w:p w14:paraId="1B0CD524">
      <w:pPr>
        <w:pStyle w:val="2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对已统计的用户满意度调查问卷结果进行分析，截至</w:t>
      </w:r>
      <w:r>
        <w:rPr>
          <w:rFonts w:hint="eastAsia"/>
          <w:lang w:val="en-US" w:eastAsia="zh-CN"/>
        </w:rPr>
        <w:t>2026年1月</w:t>
      </w:r>
      <w:r>
        <w:rPr>
          <w:rFonts w:hint="eastAsia"/>
          <w:lang w:eastAsia="zh-CN"/>
        </w:rPr>
        <w:t>客户满意度平均分为9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分，通过调查分数以及客户提出的改进意见，</w:t>
      </w:r>
      <w:r>
        <w:rPr>
          <w:rFonts w:hint="eastAsia"/>
          <w:lang w:val="en-US" w:eastAsia="zh-CN"/>
        </w:rPr>
        <w:t>运维服务部</w:t>
      </w:r>
      <w:r>
        <w:rPr>
          <w:rFonts w:hint="eastAsia"/>
          <w:lang w:eastAsia="zh-CN"/>
        </w:rPr>
        <w:t>发现以下情况在之后的运维服务过程中有提高的空间。</w:t>
      </w:r>
    </w:p>
    <w:p w14:paraId="64D6FD25">
      <w:pPr>
        <w:pStyle w:val="2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过满意度调查得知，客户对我司的运维服务基本持满意态度，但对于公司的服务台服务水平等方面有需要提高的空间，从本次调查不仅获知本公司的不足之处，还反映了客户关注需要进一步加强，未来更有必要提升公司整体运作及管理水平。</w:t>
      </w:r>
    </w:p>
    <w:p w14:paraId="1878177E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之后</w:t>
      </w:r>
      <w:r>
        <w:rPr>
          <w:rFonts w:hint="eastAsia"/>
          <w:lang w:val="en-US" w:eastAsia="zh-CN"/>
        </w:rPr>
        <w:t>运维服务部</w:t>
      </w:r>
      <w:r>
        <w:rPr>
          <w:rFonts w:hint="eastAsia"/>
          <w:lang w:eastAsia="zh-CN"/>
        </w:rPr>
        <w:t>会继续向客户征询调查问卷，并对调查问卷的数据进行统计分析，从而进一步提升本公司各方面服务水平，更好的服务于客户。</w:t>
      </w:r>
    </w:p>
    <w:p w14:paraId="45358AA3">
      <w:pPr>
        <w:pStyle w:val="31"/>
        <w:bidi w:val="0"/>
      </w:pPr>
      <w:r>
        <w:t>运维服务体系过程改进</w:t>
      </w:r>
    </w:p>
    <w:p w14:paraId="37C10BB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月，由</w:t>
      </w:r>
      <w:r>
        <w:rPr>
          <w:rFonts w:hint="eastAsia"/>
          <w:lang w:val="en-US" w:eastAsia="zh-CN"/>
        </w:rPr>
        <w:t>运维服务部</w:t>
      </w:r>
      <w:r>
        <w:rPr>
          <w:rFonts w:hint="default"/>
          <w:lang w:val="en-US" w:eastAsia="zh-CN"/>
        </w:rPr>
        <w:t>牵头公司引进了ITSS运维服务能力管理体系，结合公司的实际情况对公司原有的运维管理体系进行了全面系统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梳理，</w:t>
      </w:r>
      <w:r>
        <w:rPr>
          <w:rFonts w:hint="eastAsia"/>
          <w:lang w:val="en-US" w:eastAsia="zh-CN"/>
        </w:rPr>
        <w:t>结合运维服务指标完成情况、客户反馈意见等方式</w:t>
      </w:r>
      <w:r>
        <w:rPr>
          <w:rFonts w:hint="default"/>
          <w:lang w:val="en-US" w:eastAsia="zh-CN"/>
        </w:rPr>
        <w:t>从人员管理、资源管理、技术管理、服务过程管理及质量管</w:t>
      </w:r>
      <w:r>
        <w:rPr>
          <w:rFonts w:hint="eastAsia"/>
          <w:lang w:val="en-US" w:eastAsia="zh-CN"/>
        </w:rPr>
        <w:t>理等</w:t>
      </w:r>
      <w:r>
        <w:rPr>
          <w:rFonts w:hint="default"/>
          <w:lang w:val="en-US" w:eastAsia="zh-CN"/>
        </w:rPr>
        <w:t>方面对</w:t>
      </w:r>
      <w:r>
        <w:rPr>
          <w:rFonts w:hint="eastAsia"/>
          <w:lang w:val="en-US" w:eastAsia="zh-CN"/>
        </w:rPr>
        <w:t>运维体系进行改进和完善。</w:t>
      </w:r>
      <w:r>
        <w:rPr>
          <w:rFonts w:hint="default"/>
          <w:lang w:val="en-US" w:eastAsia="zh-CN"/>
        </w:rPr>
        <w:t>实践表明，通过不断地完善调整，修改后的运维服务体系能较好</w:t>
      </w:r>
      <w:r>
        <w:rPr>
          <w:rFonts w:hint="eastAsia"/>
          <w:lang w:val="en-US" w:eastAsia="zh-CN"/>
        </w:rPr>
        <w:t>地</w:t>
      </w:r>
      <w:r>
        <w:rPr>
          <w:rFonts w:hint="default"/>
          <w:lang w:val="en-US" w:eastAsia="zh-CN"/>
        </w:rPr>
        <w:t>适应公司文化，规范工作流程，对运维服务起到了促进和支撑作用。</w:t>
      </w:r>
      <w:r>
        <w:rPr>
          <w:rFonts w:hint="eastAsia"/>
          <w:lang w:val="en-US" w:eastAsia="zh-CN"/>
        </w:rPr>
        <w:t>针对最终软件库第一、二季度未达到考核指标的情况，由质量部加强监督，相关部门组织培训《最终软件库管理制度》并进行考核。</w:t>
      </w:r>
    </w:p>
    <w:p w14:paraId="3A6EFFE0">
      <w:pPr>
        <w:pStyle w:val="31"/>
        <w:bidi w:val="0"/>
      </w:pPr>
      <w:bookmarkStart w:id="6" w:name="_Toc22676"/>
      <w:r>
        <w:t>质量培训</w:t>
      </w:r>
      <w:bookmarkEnd w:id="6"/>
    </w:p>
    <w:p w14:paraId="1602AC3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截至2026年1月公司组织了有关公司产品、相关管理制度、管理类、规范类等内容的培训，对培训人员进行考核全部合格。有效地提高了运维服务相关人员的工作效率，提高了客户满意度。</w:t>
      </w:r>
    </w:p>
    <w:p w14:paraId="23428B18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CB6D6E"/>
    <w:rsid w:val="32230959"/>
    <w:rsid w:val="33714EC6"/>
    <w:rsid w:val="4E460794"/>
    <w:rsid w:val="621F54C6"/>
    <w:rsid w:val="76516E0F"/>
    <w:rsid w:val="7BD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1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1287</Words>
  <Characters>1471</Characters>
  <Lines>0</Lines>
  <Paragraphs>0</Paragraphs>
  <TotalTime>129</TotalTime>
  <ScaleCrop>false</ScaleCrop>
  <LinksUpToDate>false</LinksUpToDate>
  <CharactersWithSpaces>1505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2026-02-16T17:20:21Z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