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F682E5">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2908"/>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4CA1C142">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1397"/>
      <w:r>
        <w:rPr>
          <w:rFonts w:hint="eastAsia"/>
          <w:lang w:val="en-US" w:eastAsia="zh-CN"/>
        </w:rPr>
        <w:t>运维服务工具管理办法</w:t>
      </w:r>
      <w:bookmarkEnd w:id="1"/>
    </w:p>
    <w:p w14:paraId="701A323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2354"/>
      <w:r>
        <w:rPr>
          <w:rFonts w:hint="eastAsia"/>
          <w:lang w:val="en-US" w:eastAsia="zh-CN"/>
        </w:rPr>
        <w:t>（HXDL-ITSS-0801）</w:t>
      </w:r>
      <w:bookmarkEnd w:id="2"/>
    </w:p>
    <w:p w14:paraId="67DD185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28AF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2BB14A1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566C91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502D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4F55C9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8386D3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2B9E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26753B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06779C6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547EA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F23F295">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26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C45860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59DB5F61">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F94EC3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0FE157E8">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C8929B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9A22DF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33DFFA6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42D1916">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FA80C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CD1FB2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83B439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EE0224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70322B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466B83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2FF448F">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6CA5C81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12DC84B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B0EFC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966492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A7FBD2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F95B6D1">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332FFAF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632EBDE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32B247E8">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6F7AC9C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5C30D71">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368FBE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5D92509E">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0B36267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02BA733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213C72D">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7727A1A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4D2DC4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D01798E">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6959AF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339AC3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091C528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36BFEE9">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623C0A0C">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0CD0B47">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388E244">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63C19A45">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4D3D427">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74E087B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3BDEF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772"/>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F1988D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heading_2"/>
          <w:r>
            <w:rPr>
              <w:rFonts w:ascii="宋体" w:hAnsi="宋体" w:eastAsia="宋体"/>
              <w:sz w:val="21"/>
            </w:rPr>
            <w:t>目录</w:t>
          </w:r>
        </w:p>
        <w:p w14:paraId="339DA0F3">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_Toc22908 </w:instrText>
          </w:r>
          <w:r>
            <w:fldChar w:fldCharType="separate"/>
          </w:r>
          <w:r>
            <w:rPr>
              <w:rFonts w:hint="eastAsia"/>
              <w:lang w:val="en-US" w:eastAsia="zh-CN"/>
            </w:rPr>
            <w:t>天津市华夏电缆有限公司</w:t>
          </w:r>
          <w:r>
            <w:tab/>
          </w:r>
          <w:r>
            <w:fldChar w:fldCharType="begin"/>
          </w:r>
          <w:r>
            <w:instrText xml:space="preserve"> PAGEREF _Toc22908 \h </w:instrText>
          </w:r>
          <w:r>
            <w:fldChar w:fldCharType="separate"/>
          </w:r>
          <w:r>
            <w:t>1</w:t>
          </w:r>
          <w:r>
            <w:fldChar w:fldCharType="end"/>
          </w:r>
          <w:r>
            <w:fldChar w:fldCharType="end"/>
          </w:r>
        </w:p>
        <w:p w14:paraId="7BC441D9">
          <w:pPr>
            <w:pStyle w:val="16"/>
            <w:tabs>
              <w:tab w:val="right" w:leader="dot" w:pos="8306"/>
            </w:tabs>
          </w:pPr>
          <w:r>
            <w:fldChar w:fldCharType="begin"/>
          </w:r>
          <w:r>
            <w:instrText xml:space="preserve"> HYPERLINK \l _Toc31397 </w:instrText>
          </w:r>
          <w:r>
            <w:fldChar w:fldCharType="separate"/>
          </w:r>
          <w:r>
            <w:rPr>
              <w:rFonts w:hint="eastAsia"/>
              <w:lang w:val="en-US" w:eastAsia="zh-CN"/>
            </w:rPr>
            <w:t>运维服务工具管理办法</w:t>
          </w:r>
          <w:r>
            <w:tab/>
          </w:r>
          <w:r>
            <w:fldChar w:fldCharType="begin"/>
          </w:r>
          <w:r>
            <w:instrText xml:space="preserve"> PAGEREF _Toc31397 \h </w:instrText>
          </w:r>
          <w:r>
            <w:fldChar w:fldCharType="separate"/>
          </w:r>
          <w:r>
            <w:t>1</w:t>
          </w:r>
          <w:r>
            <w:fldChar w:fldCharType="end"/>
          </w:r>
          <w:r>
            <w:fldChar w:fldCharType="end"/>
          </w:r>
        </w:p>
        <w:p w14:paraId="5649E544">
          <w:pPr>
            <w:pStyle w:val="16"/>
            <w:tabs>
              <w:tab w:val="right" w:leader="dot" w:pos="8306"/>
            </w:tabs>
          </w:pPr>
          <w:r>
            <w:fldChar w:fldCharType="begin"/>
          </w:r>
          <w:r>
            <w:instrText xml:space="preserve"> HYPERLINK \l _Toc12354 </w:instrText>
          </w:r>
          <w:r>
            <w:fldChar w:fldCharType="separate"/>
          </w:r>
          <w:r>
            <w:rPr>
              <w:rFonts w:hint="eastAsia"/>
              <w:lang w:val="en-US" w:eastAsia="zh-CN"/>
            </w:rPr>
            <w:t>（HXDL-ITSS-0801）</w:t>
          </w:r>
          <w:r>
            <w:tab/>
          </w:r>
          <w:r>
            <w:fldChar w:fldCharType="begin"/>
          </w:r>
          <w:r>
            <w:instrText xml:space="preserve"> PAGEREF _Toc12354 \h </w:instrText>
          </w:r>
          <w:r>
            <w:fldChar w:fldCharType="separate"/>
          </w:r>
          <w:r>
            <w:t>1</w:t>
          </w:r>
          <w:r>
            <w:fldChar w:fldCharType="end"/>
          </w:r>
          <w:r>
            <w:fldChar w:fldCharType="end"/>
          </w:r>
        </w:p>
        <w:p w14:paraId="3C08F5E7">
          <w:pPr>
            <w:pStyle w:val="16"/>
            <w:tabs>
              <w:tab w:val="right" w:leader="dot" w:pos="8306"/>
            </w:tabs>
          </w:pPr>
          <w:r>
            <w:fldChar w:fldCharType="begin"/>
          </w:r>
          <w:r>
            <w:instrText xml:space="preserve"> HYPERLINK \l _Toc5262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_Toc5262 \h </w:instrText>
          </w:r>
          <w:r>
            <w:fldChar w:fldCharType="separate"/>
          </w:r>
          <w:r>
            <w:t>2</w:t>
          </w:r>
          <w:r>
            <w:fldChar w:fldCharType="end"/>
          </w:r>
          <w:r>
            <w:fldChar w:fldCharType="end"/>
          </w:r>
        </w:p>
        <w:p w14:paraId="2C83732E">
          <w:pPr>
            <w:pStyle w:val="16"/>
            <w:tabs>
              <w:tab w:val="right" w:leader="dot" w:pos="8306"/>
            </w:tabs>
          </w:pPr>
          <w:r>
            <w:fldChar w:fldCharType="begin"/>
          </w:r>
          <w:r>
            <w:instrText xml:space="preserve"> HYPERLINK \l _Toc9966 </w:instrText>
          </w:r>
          <w:r>
            <w:fldChar w:fldCharType="separate"/>
          </w:r>
          <w:r>
            <w:rPr>
              <w:rFonts w:hint="default"/>
            </w:rPr>
            <w:t xml:space="preserve">1. </w:t>
          </w:r>
          <w:r>
            <w:t>目的</w:t>
          </w:r>
          <w:r>
            <w:tab/>
          </w:r>
          <w:r>
            <w:fldChar w:fldCharType="begin"/>
          </w:r>
          <w:r>
            <w:instrText xml:space="preserve"> PAGEREF _Toc9966 \h </w:instrText>
          </w:r>
          <w:r>
            <w:fldChar w:fldCharType="separate"/>
          </w:r>
          <w:r>
            <w:t>4</w:t>
          </w:r>
          <w:r>
            <w:fldChar w:fldCharType="end"/>
          </w:r>
          <w:r>
            <w:fldChar w:fldCharType="end"/>
          </w:r>
        </w:p>
        <w:p w14:paraId="243F3F26">
          <w:pPr>
            <w:pStyle w:val="16"/>
            <w:tabs>
              <w:tab w:val="right" w:leader="dot" w:pos="8306"/>
            </w:tabs>
          </w:pPr>
          <w:r>
            <w:fldChar w:fldCharType="begin"/>
          </w:r>
          <w:r>
            <w:instrText xml:space="preserve"> HYPERLINK \l _Toc1522 </w:instrText>
          </w:r>
          <w:r>
            <w:fldChar w:fldCharType="separate"/>
          </w:r>
          <w:r>
            <w:rPr>
              <w:rFonts w:hint="default"/>
            </w:rPr>
            <w:t xml:space="preserve">2. </w:t>
          </w:r>
          <w:r>
            <w:t>适用范围</w:t>
          </w:r>
          <w:r>
            <w:tab/>
          </w:r>
          <w:r>
            <w:fldChar w:fldCharType="begin"/>
          </w:r>
          <w:r>
            <w:instrText xml:space="preserve"> PAGEREF _Toc1522 \h </w:instrText>
          </w:r>
          <w:r>
            <w:fldChar w:fldCharType="separate"/>
          </w:r>
          <w:r>
            <w:t>4</w:t>
          </w:r>
          <w:r>
            <w:fldChar w:fldCharType="end"/>
          </w:r>
          <w:r>
            <w:fldChar w:fldCharType="end"/>
          </w:r>
        </w:p>
        <w:p w14:paraId="720A5B28">
          <w:pPr>
            <w:pStyle w:val="16"/>
            <w:tabs>
              <w:tab w:val="right" w:leader="dot" w:pos="8306"/>
            </w:tabs>
          </w:pPr>
          <w:r>
            <w:fldChar w:fldCharType="begin"/>
          </w:r>
          <w:r>
            <w:instrText xml:space="preserve"> HYPERLINK \l _Toc27308 </w:instrText>
          </w:r>
          <w:r>
            <w:fldChar w:fldCharType="separate"/>
          </w:r>
          <w:r>
            <w:rPr>
              <w:rFonts w:hint="default"/>
            </w:rPr>
            <w:t xml:space="preserve">3. </w:t>
          </w:r>
          <w:r>
            <w:t>角色职责</w:t>
          </w:r>
          <w:r>
            <w:tab/>
          </w:r>
          <w:r>
            <w:fldChar w:fldCharType="begin"/>
          </w:r>
          <w:r>
            <w:instrText xml:space="preserve"> PAGEREF _Toc27308 \h </w:instrText>
          </w:r>
          <w:r>
            <w:fldChar w:fldCharType="separate"/>
          </w:r>
          <w:r>
            <w:t>4</w:t>
          </w:r>
          <w:r>
            <w:fldChar w:fldCharType="end"/>
          </w:r>
          <w:r>
            <w:fldChar w:fldCharType="end"/>
          </w:r>
        </w:p>
        <w:p w14:paraId="74CE0532">
          <w:pPr>
            <w:pStyle w:val="17"/>
            <w:tabs>
              <w:tab w:val="right" w:leader="dot" w:pos="8306"/>
            </w:tabs>
          </w:pPr>
          <w:r>
            <w:fldChar w:fldCharType="begin"/>
          </w:r>
          <w:r>
            <w:instrText xml:space="preserve"> HYPERLINK \l _Toc10908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_Toc10908 \h </w:instrText>
          </w:r>
          <w:r>
            <w:fldChar w:fldCharType="separate"/>
          </w:r>
          <w:r>
            <w:t>4</w:t>
          </w:r>
          <w:r>
            <w:fldChar w:fldCharType="end"/>
          </w:r>
          <w:r>
            <w:fldChar w:fldCharType="end"/>
          </w:r>
        </w:p>
        <w:p w14:paraId="5B607329">
          <w:pPr>
            <w:pStyle w:val="17"/>
            <w:tabs>
              <w:tab w:val="right" w:leader="dot" w:pos="8306"/>
            </w:tabs>
          </w:pPr>
          <w:r>
            <w:fldChar w:fldCharType="begin"/>
          </w:r>
          <w:r>
            <w:instrText xml:space="preserve"> HYPERLINK \l _Toc1570 </w:instrText>
          </w:r>
          <w:r>
            <w:fldChar w:fldCharType="separate"/>
          </w:r>
          <w:r>
            <w:rPr>
              <w:rFonts w:hint="default"/>
            </w:rPr>
            <w:t xml:space="preserve">3.2. </w:t>
          </w:r>
          <w:r>
            <w:t>研发部</w:t>
          </w:r>
          <w:r>
            <w:tab/>
          </w:r>
          <w:r>
            <w:fldChar w:fldCharType="begin"/>
          </w:r>
          <w:r>
            <w:instrText xml:space="preserve"> PAGEREF _Toc1570 \h </w:instrText>
          </w:r>
          <w:r>
            <w:fldChar w:fldCharType="separate"/>
          </w:r>
          <w:r>
            <w:t>4</w:t>
          </w:r>
          <w:r>
            <w:fldChar w:fldCharType="end"/>
          </w:r>
          <w:r>
            <w:fldChar w:fldCharType="end"/>
          </w:r>
        </w:p>
        <w:p w14:paraId="6DEC3367">
          <w:pPr>
            <w:pStyle w:val="16"/>
            <w:tabs>
              <w:tab w:val="right" w:leader="dot" w:pos="8306"/>
            </w:tabs>
          </w:pPr>
          <w:r>
            <w:fldChar w:fldCharType="begin"/>
          </w:r>
          <w:r>
            <w:instrText xml:space="preserve"> HYPERLINK \l _Toc12413 </w:instrText>
          </w:r>
          <w:r>
            <w:fldChar w:fldCharType="separate"/>
          </w:r>
          <w:r>
            <w:rPr>
              <w:rFonts w:hint="default"/>
            </w:rPr>
            <w:t xml:space="preserve">4. </w:t>
          </w:r>
          <w:r>
            <w:t>运维服务工具管理</w:t>
          </w:r>
          <w:r>
            <w:tab/>
          </w:r>
          <w:r>
            <w:fldChar w:fldCharType="begin"/>
          </w:r>
          <w:r>
            <w:instrText xml:space="preserve"> PAGEREF _Toc12413 \h </w:instrText>
          </w:r>
          <w:r>
            <w:fldChar w:fldCharType="separate"/>
          </w:r>
          <w:r>
            <w:t>4</w:t>
          </w:r>
          <w:r>
            <w:fldChar w:fldCharType="end"/>
          </w:r>
          <w:r>
            <w:fldChar w:fldCharType="end"/>
          </w:r>
        </w:p>
        <w:p w14:paraId="6FF0B2A3">
          <w:pPr>
            <w:pStyle w:val="17"/>
            <w:tabs>
              <w:tab w:val="right" w:leader="dot" w:pos="8306"/>
            </w:tabs>
          </w:pPr>
          <w:r>
            <w:fldChar w:fldCharType="begin"/>
          </w:r>
          <w:r>
            <w:instrText xml:space="preserve"> HYPERLINK \l _Toc3546 </w:instrText>
          </w:r>
          <w:r>
            <w:fldChar w:fldCharType="separate"/>
          </w:r>
          <w:r>
            <w:rPr>
              <w:rFonts w:hint="default"/>
            </w:rPr>
            <w:t xml:space="preserve">4.1. </w:t>
          </w:r>
          <w:r>
            <w:t>管理要求</w:t>
          </w:r>
          <w:r>
            <w:tab/>
          </w:r>
          <w:r>
            <w:fldChar w:fldCharType="begin"/>
          </w:r>
          <w:r>
            <w:instrText xml:space="preserve"> PAGEREF _Toc3546 \h </w:instrText>
          </w:r>
          <w:r>
            <w:fldChar w:fldCharType="separate"/>
          </w:r>
          <w:r>
            <w:t>4</w:t>
          </w:r>
          <w:r>
            <w:fldChar w:fldCharType="end"/>
          </w:r>
          <w:r>
            <w:fldChar w:fldCharType="end"/>
          </w:r>
        </w:p>
        <w:p w14:paraId="2A4A54DE">
          <w:pPr>
            <w:pStyle w:val="17"/>
            <w:tabs>
              <w:tab w:val="right" w:leader="dot" w:pos="8306"/>
            </w:tabs>
          </w:pPr>
          <w:r>
            <w:fldChar w:fldCharType="begin"/>
          </w:r>
          <w:r>
            <w:instrText xml:space="preserve"> HYPERLINK \l _Toc26342 </w:instrText>
          </w:r>
          <w:r>
            <w:fldChar w:fldCharType="separate"/>
          </w:r>
          <w:r>
            <w:rPr>
              <w:rFonts w:hint="default"/>
            </w:rPr>
            <w:t xml:space="preserve">4.2. </w:t>
          </w:r>
          <w:r>
            <w:t>运维服务工具简介</w:t>
          </w:r>
          <w:r>
            <w:tab/>
          </w:r>
          <w:r>
            <w:fldChar w:fldCharType="begin"/>
          </w:r>
          <w:r>
            <w:instrText xml:space="preserve"> PAGEREF _Toc26342 \h </w:instrText>
          </w:r>
          <w:r>
            <w:fldChar w:fldCharType="separate"/>
          </w:r>
          <w:r>
            <w:t>5</w:t>
          </w:r>
          <w:r>
            <w:fldChar w:fldCharType="end"/>
          </w:r>
          <w:r>
            <w:fldChar w:fldCharType="end"/>
          </w:r>
        </w:p>
        <w:p w14:paraId="740AF4E4">
          <w:pPr>
            <w:pStyle w:val="13"/>
            <w:tabs>
              <w:tab w:val="right" w:leader="dot" w:pos="8306"/>
            </w:tabs>
          </w:pPr>
          <w:r>
            <w:fldChar w:fldCharType="begin"/>
          </w:r>
          <w:r>
            <w:instrText xml:space="preserve"> HYPERLINK \l _Toc13576 </w:instrText>
          </w:r>
          <w:r>
            <w:fldChar w:fldCharType="separate"/>
          </w:r>
          <w:r>
            <w:rPr>
              <w:rFonts w:hint="default"/>
            </w:rPr>
            <w:t xml:space="preserve">4.2.1. </w:t>
          </w:r>
          <w:r>
            <w:t>过程管理工具</w:t>
          </w:r>
          <w:r>
            <w:tab/>
          </w:r>
          <w:r>
            <w:fldChar w:fldCharType="begin"/>
          </w:r>
          <w:r>
            <w:instrText xml:space="preserve"> PAGEREF _Toc13576 \h </w:instrText>
          </w:r>
          <w:r>
            <w:fldChar w:fldCharType="separate"/>
          </w:r>
          <w:r>
            <w:t>5</w:t>
          </w:r>
          <w:r>
            <w:fldChar w:fldCharType="end"/>
          </w:r>
          <w:r>
            <w:fldChar w:fldCharType="end"/>
          </w:r>
        </w:p>
        <w:p w14:paraId="4FB65DC7">
          <w:pPr>
            <w:pStyle w:val="13"/>
            <w:tabs>
              <w:tab w:val="right" w:leader="dot" w:pos="8306"/>
            </w:tabs>
          </w:pPr>
          <w:r>
            <w:fldChar w:fldCharType="begin"/>
          </w:r>
          <w:r>
            <w:instrText xml:space="preserve"> HYPERLINK \l _Toc30912 </w:instrText>
          </w:r>
          <w:r>
            <w:fldChar w:fldCharType="separate"/>
          </w:r>
          <w:r>
            <w:rPr>
              <w:rFonts w:hint="default"/>
            </w:rPr>
            <w:t xml:space="preserve">4.2.2. </w:t>
          </w:r>
          <w:r>
            <w:t>监控管理工具</w:t>
          </w:r>
          <w:r>
            <w:tab/>
          </w:r>
          <w:r>
            <w:fldChar w:fldCharType="begin"/>
          </w:r>
          <w:r>
            <w:instrText xml:space="preserve"> PAGEREF _Toc30912 \h </w:instrText>
          </w:r>
          <w:r>
            <w:fldChar w:fldCharType="separate"/>
          </w:r>
          <w:r>
            <w:t>5</w:t>
          </w:r>
          <w:r>
            <w:fldChar w:fldCharType="end"/>
          </w:r>
          <w:r>
            <w:fldChar w:fldCharType="end"/>
          </w:r>
        </w:p>
        <w:p w14:paraId="753A99B1">
          <w:pPr>
            <w:pStyle w:val="13"/>
            <w:tabs>
              <w:tab w:val="right" w:leader="dot" w:pos="8306"/>
            </w:tabs>
          </w:pPr>
          <w:r>
            <w:fldChar w:fldCharType="begin"/>
          </w:r>
          <w:r>
            <w:instrText xml:space="preserve"> HYPERLINK \l _Toc13677 </w:instrText>
          </w:r>
          <w:r>
            <w:fldChar w:fldCharType="separate"/>
          </w:r>
          <w:r>
            <w:rPr>
              <w:rFonts w:hint="default"/>
            </w:rPr>
            <w:t xml:space="preserve">4.2.3. </w:t>
          </w:r>
          <w:r>
            <w:t>专用工具</w:t>
          </w:r>
          <w:r>
            <w:tab/>
          </w:r>
          <w:r>
            <w:fldChar w:fldCharType="begin"/>
          </w:r>
          <w:r>
            <w:instrText xml:space="preserve"> PAGEREF _Toc13677 \h </w:instrText>
          </w:r>
          <w:r>
            <w:fldChar w:fldCharType="separate"/>
          </w:r>
          <w:r>
            <w:t>5</w:t>
          </w:r>
          <w:r>
            <w:fldChar w:fldCharType="end"/>
          </w:r>
          <w:r>
            <w:fldChar w:fldCharType="end"/>
          </w:r>
        </w:p>
        <w:p w14:paraId="3FD3ADD9">
          <w:pPr>
            <w:pStyle w:val="17"/>
            <w:tabs>
              <w:tab w:val="right" w:leader="dot" w:pos="8306"/>
            </w:tabs>
          </w:pPr>
          <w:r>
            <w:fldChar w:fldCharType="begin"/>
          </w:r>
          <w:r>
            <w:instrText xml:space="preserve"> HYPERLINK \l _Toc29017 </w:instrText>
          </w:r>
          <w:r>
            <w:fldChar w:fldCharType="separate"/>
          </w:r>
          <w:r>
            <w:rPr>
              <w:rFonts w:hint="default"/>
            </w:rPr>
            <w:t xml:space="preserve">4.3. </w:t>
          </w:r>
          <w:r>
            <w:t>运维服务工具的日常管理</w:t>
          </w:r>
          <w:r>
            <w:tab/>
          </w:r>
          <w:r>
            <w:fldChar w:fldCharType="begin"/>
          </w:r>
          <w:r>
            <w:instrText xml:space="preserve"> PAGEREF _Toc29017 \h </w:instrText>
          </w:r>
          <w:r>
            <w:fldChar w:fldCharType="separate"/>
          </w:r>
          <w:r>
            <w:t>5</w:t>
          </w:r>
          <w:r>
            <w:fldChar w:fldCharType="end"/>
          </w:r>
          <w:r>
            <w:fldChar w:fldCharType="end"/>
          </w:r>
        </w:p>
        <w:p w14:paraId="771147D6">
          <w:pPr>
            <w:pStyle w:val="17"/>
            <w:tabs>
              <w:tab w:val="right" w:leader="dot" w:pos="8306"/>
            </w:tabs>
          </w:pPr>
          <w:r>
            <w:fldChar w:fldCharType="begin"/>
          </w:r>
          <w:r>
            <w:instrText xml:space="preserve"> HYPERLINK \l _Toc2918 </w:instrText>
          </w:r>
          <w:r>
            <w:fldChar w:fldCharType="separate"/>
          </w:r>
          <w:r>
            <w:rPr>
              <w:rFonts w:hint="default"/>
            </w:rPr>
            <w:t xml:space="preserve">4.4. </w:t>
          </w:r>
          <w:r>
            <w:t>运维服务工具使用的培训</w:t>
          </w:r>
          <w:r>
            <w:tab/>
          </w:r>
          <w:r>
            <w:fldChar w:fldCharType="begin"/>
          </w:r>
          <w:r>
            <w:instrText xml:space="preserve"> PAGEREF _Toc2918 \h </w:instrText>
          </w:r>
          <w:r>
            <w:fldChar w:fldCharType="separate"/>
          </w:r>
          <w:r>
            <w:t>5</w:t>
          </w:r>
          <w:r>
            <w:fldChar w:fldCharType="end"/>
          </w:r>
          <w:r>
            <w:fldChar w:fldCharType="end"/>
          </w:r>
        </w:p>
        <w:p w14:paraId="15514467">
          <w:pPr>
            <w:pStyle w:val="16"/>
            <w:tabs>
              <w:tab w:val="right" w:leader="dot" w:pos="8306"/>
            </w:tabs>
          </w:pPr>
          <w:r>
            <w:fldChar w:fldCharType="begin"/>
          </w:r>
          <w:r>
            <w:instrText xml:space="preserve"> HYPERLINK \l _Toc10430 </w:instrText>
          </w:r>
          <w:r>
            <w:fldChar w:fldCharType="separate"/>
          </w:r>
          <w:r>
            <w:rPr>
              <w:rFonts w:hint="default"/>
            </w:rPr>
            <w:t xml:space="preserve">5. </w:t>
          </w:r>
          <w:r>
            <w:t>运维服务工具的评估和改进</w:t>
          </w:r>
          <w:r>
            <w:tab/>
          </w:r>
          <w:r>
            <w:fldChar w:fldCharType="begin"/>
          </w:r>
          <w:r>
            <w:instrText xml:space="preserve"> PAGEREF _Toc10430 \h </w:instrText>
          </w:r>
          <w:r>
            <w:fldChar w:fldCharType="separate"/>
          </w:r>
          <w:r>
            <w:t>5</w:t>
          </w:r>
          <w:r>
            <w:fldChar w:fldCharType="end"/>
          </w:r>
          <w:r>
            <w:fldChar w:fldCharType="end"/>
          </w:r>
        </w:p>
        <w:p w14:paraId="5D34C01B">
          <w:pPr>
            <w:pStyle w:val="16"/>
            <w:tabs>
              <w:tab w:val="right" w:leader="dot" w:pos="8306"/>
            </w:tabs>
          </w:pPr>
          <w:r>
            <w:fldChar w:fldCharType="begin"/>
          </w:r>
          <w:r>
            <w:instrText xml:space="preserve"> HYPERLINK \l _Toc20330 </w:instrText>
          </w:r>
          <w:r>
            <w:fldChar w:fldCharType="separate"/>
          </w:r>
          <w:r>
            <w:rPr>
              <w:rFonts w:hint="default"/>
            </w:rPr>
            <w:t xml:space="preserve">6. </w:t>
          </w:r>
          <w:r>
            <w:t>KPI 指标</w:t>
          </w:r>
          <w:r>
            <w:tab/>
          </w:r>
          <w:r>
            <w:fldChar w:fldCharType="begin"/>
          </w:r>
          <w:r>
            <w:instrText xml:space="preserve"> PAGEREF _Toc20330 \h </w:instrText>
          </w:r>
          <w:r>
            <w:fldChar w:fldCharType="separate"/>
          </w:r>
          <w:r>
            <w:t>6</w:t>
          </w:r>
          <w:r>
            <w:fldChar w:fldCharType="end"/>
          </w:r>
          <w:r>
            <w:fldChar w:fldCharType="end"/>
          </w:r>
        </w:p>
        <w:p w14:paraId="4289D6ED">
          <w:pPr>
            <w:pStyle w:val="16"/>
            <w:tabs>
              <w:tab w:val="right" w:leader="dot" w:pos="8306"/>
            </w:tabs>
          </w:pPr>
          <w:r>
            <w:fldChar w:fldCharType="begin"/>
          </w:r>
          <w:r>
            <w:instrText xml:space="preserve"> HYPERLINK \l _Toc23481 </w:instrText>
          </w:r>
          <w:r>
            <w:fldChar w:fldCharType="separate"/>
          </w:r>
          <w:r>
            <w:rPr>
              <w:rFonts w:hint="default"/>
            </w:rPr>
            <w:t xml:space="preserve">7. </w:t>
          </w:r>
          <w:r>
            <w:t>相关文件</w:t>
          </w:r>
          <w:r>
            <w:tab/>
          </w:r>
          <w:r>
            <w:fldChar w:fldCharType="begin"/>
          </w:r>
          <w:r>
            <w:instrText xml:space="preserve"> PAGEREF _Toc23481 \h </w:instrText>
          </w:r>
          <w:r>
            <w:fldChar w:fldCharType="separate"/>
          </w:r>
          <w:r>
            <w:t>6</w:t>
          </w:r>
          <w:r>
            <w:fldChar w:fldCharType="end"/>
          </w:r>
          <w:r>
            <w:fldChar w:fldCharType="end"/>
          </w:r>
        </w:p>
        <w:p w14:paraId="1A03FD9F">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6431F7B6">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25D98E2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017D229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9966"/>
      <w:r>
        <w:t>目的</w:t>
      </w:r>
      <w:bookmarkEnd w:id="4"/>
      <w:bookmarkEnd w:id="5"/>
    </w:p>
    <w:p w14:paraId="169F38C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本文件旨在加强公司运维服务工具管理，提高工具利用率，更好地支撑公司运维服务开展，特制定本管理办法。</w:t>
      </w:r>
    </w:p>
    <w:p w14:paraId="4698403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522"/>
      <w:r>
        <w:t>适用范围</w:t>
      </w:r>
      <w:bookmarkEnd w:id="6"/>
      <w:bookmarkEnd w:id="7"/>
    </w:p>
    <w:p w14:paraId="1F94F5A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本办法适用于</w:t>
      </w:r>
      <w:r>
        <w:rPr>
          <w:rFonts w:hint="eastAsia"/>
          <w:lang w:val="en-US" w:eastAsia="zh-CN"/>
        </w:rPr>
        <w:t>天津市华夏电缆有限公司</w:t>
      </w:r>
      <w:r>
        <w:t>范围内所有与运维业务相关的工具。</w:t>
      </w:r>
    </w:p>
    <w:p w14:paraId="5D9C333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7308"/>
      <w:r>
        <w:t>角色职责</w:t>
      </w:r>
      <w:bookmarkEnd w:id="8"/>
      <w:bookmarkEnd w:id="9"/>
    </w:p>
    <w:p w14:paraId="79D2B25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0908"/>
      <w:r>
        <w:rPr>
          <w:rFonts w:hint="eastAsia"/>
          <w:lang w:val="en-US" w:eastAsia="zh-CN"/>
        </w:rPr>
        <w:t>运维部</w:t>
      </w:r>
      <w:bookmarkEnd w:id="10"/>
    </w:p>
    <w:p w14:paraId="3243CC2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pPr>
      <w:r>
        <w:t>负责管理公司所有与运维业务相关的工具。</w:t>
      </w:r>
    </w:p>
    <w:p w14:paraId="0484D8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570"/>
      <w:r>
        <w:t>研发部</w:t>
      </w:r>
      <w:bookmarkEnd w:id="11"/>
    </w:p>
    <w:p w14:paraId="589E639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pPr>
      <w:r>
        <w:t>负责公司运维工具的研发工作。</w:t>
      </w:r>
    </w:p>
    <w:p w14:paraId="617AD58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12413"/>
      <w:r>
        <w:t>运维服务工具管理</w:t>
      </w:r>
      <w:bookmarkEnd w:id="12"/>
      <w:bookmarkEnd w:id="13"/>
    </w:p>
    <w:p w14:paraId="1FDB64D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14:paraId="3795576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3546"/>
      <w:r>
        <w:t>管理要求</w:t>
      </w:r>
      <w:bookmarkEnd w:id="14"/>
      <w:bookmarkEnd w:id="15"/>
    </w:p>
    <w:p w14:paraId="054770D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各部门应使用有效工具实施和管理运行维护服务，具体包括：</w:t>
      </w:r>
    </w:p>
    <w:p w14:paraId="62F67E4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监控工具：对运维服务对象进行数据采集和监控，评估可能导致服务对象故障的因素；</w:t>
      </w:r>
    </w:p>
    <w:p w14:paraId="3258A06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过程工具：按照商定的SLA（服务等级协议）管理运维服务交付过程，宜包含日常运维管理、记录、测量、监督和评估等功能；</w:t>
      </w:r>
    </w:p>
    <w:p w14:paraId="6A00AFB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专用工具：根据运维服务对象要求配备的安全工具及满足特殊需求的工具。</w:t>
      </w:r>
    </w:p>
    <w:p w14:paraId="2A344AE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所有运维服务工具均</w:t>
      </w:r>
      <w:bookmarkStart w:id="34" w:name="_GoBack"/>
      <w:bookmarkEnd w:id="34"/>
      <w:r>
        <w:t>需配备与功能匹配的使用手册，确保工具被正确、合理使用。同时，运维服务工具需持续优化以满足不断变化的服务需求。</w:t>
      </w:r>
    </w:p>
    <w:p w14:paraId="7E12222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运维服务工具可通过自主研发或外部采购两种方式获取。</w:t>
      </w:r>
    </w:p>
    <w:p w14:paraId="67F9D1B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7"/>
      <w:bookmarkStart w:id="17" w:name="_Toc26342"/>
      <w:r>
        <w:t>运维服务工具简介</w:t>
      </w:r>
      <w:bookmarkEnd w:id="16"/>
      <w:bookmarkEnd w:id="17"/>
    </w:p>
    <w:p w14:paraId="3CCFCCE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8"/>
      <w:bookmarkStart w:id="19" w:name="_Toc13576"/>
      <w:r>
        <w:t>过程管理工具</w:t>
      </w:r>
      <w:bookmarkEnd w:id="18"/>
      <w:bookmarkEnd w:id="19"/>
    </w:p>
    <w:p w14:paraId="039FD11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14:paraId="66BD6E4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9"/>
      <w:bookmarkStart w:id="21" w:name="_Toc30912"/>
      <w:r>
        <w:t>监控管理工具</w:t>
      </w:r>
      <w:bookmarkEnd w:id="20"/>
      <w:bookmarkEnd w:id="21"/>
    </w:p>
    <w:p w14:paraId="711387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核心功能为对运维服务对象进行数据采集和实时监控，精准评估可能导致服务对象发生故障的各类因素，为故障预防和及时处置提供数据支撑。</w:t>
      </w:r>
    </w:p>
    <w:p w14:paraId="31F6308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0"/>
      <w:bookmarkStart w:id="23" w:name="_Toc13677"/>
      <w:r>
        <w:t>专用工具</w:t>
      </w:r>
      <w:bookmarkEnd w:id="22"/>
      <w:bookmarkEnd w:id="23"/>
    </w:p>
    <w:p w14:paraId="236533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指根据特定服务要求配备的安全工具以及用于满足特殊运维场景需求的专用工具。</w:t>
      </w:r>
    </w:p>
    <w:p w14:paraId="5A73BF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29017"/>
      <w:r>
        <w:t>运维服务工具的日常管理</w:t>
      </w:r>
      <w:bookmarkEnd w:id="24"/>
      <w:bookmarkEnd w:id="25"/>
    </w:p>
    <w:p w14:paraId="0D9E4DE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14:paraId="0A02DD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2"/>
      <w:bookmarkStart w:id="27" w:name="_Toc2918"/>
      <w:r>
        <w:t>运维服务工具使用的培训</w:t>
      </w:r>
      <w:bookmarkEnd w:id="26"/>
      <w:bookmarkEnd w:id="27"/>
    </w:p>
    <w:p w14:paraId="5BEEE4C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公司将运维服务工具的使用能力作为工程师的核心能力要求之一，专门设立运维服务工具使用培训课程，并定期组织考核，考核结果及相关记录需妥善留存。</w:t>
      </w:r>
    </w:p>
    <w:p w14:paraId="1E1D560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3"/>
      <w:bookmarkStart w:id="29" w:name="_Toc10430"/>
      <w:r>
        <w:t>运维服务工具的评估和改进</w:t>
      </w:r>
      <w:bookmarkEnd w:id="28"/>
      <w:bookmarkEnd w:id="29"/>
    </w:p>
    <w:p w14:paraId="071BC9C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14:paraId="680D105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4"/>
      <w:bookmarkStart w:id="31" w:name="_Toc20330"/>
      <w:r>
        <w:t>KPI 指标</w:t>
      </w:r>
      <w:bookmarkEnd w:id="30"/>
      <w:bookmarkEnd w:id="31"/>
    </w:p>
    <w:p w14:paraId="0A7156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工具管理KPI指标设置如下：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85"/>
        <w:gridCol w:w="2229"/>
        <w:gridCol w:w="2396"/>
        <w:gridCol w:w="2070"/>
      </w:tblGrid>
      <w:tr w14:paraId="6F938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tcMar>
              <w:top w:w="60" w:type="dxa"/>
              <w:left w:w="120" w:type="dxa"/>
              <w:bottom w:w="30" w:type="dxa"/>
              <w:right w:w="120" w:type="dxa"/>
            </w:tcMar>
          </w:tcPr>
          <w:p w14:paraId="17C354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lang w:val="en-US" w:eastAsia="zh-CN"/>
              </w:rPr>
            </w:pPr>
            <w:r>
              <w:rPr>
                <w:rFonts w:ascii="Arial" w:hAnsi="Arial" w:eastAsia="等线" w:cs="Arial"/>
                <w:sz w:val="22"/>
              </w:rPr>
              <w:t>指标</w:t>
            </w:r>
            <w:r>
              <w:rPr>
                <w:rFonts w:hint="eastAsia" w:eastAsia="等线" w:cs="Arial"/>
                <w:sz w:val="22"/>
                <w:lang w:val="en-US" w:eastAsia="zh-CN"/>
              </w:rPr>
              <w:t>名称</w:t>
            </w:r>
          </w:p>
        </w:tc>
        <w:tc>
          <w:tcPr>
            <w:tcW w:w="2229" w:type="dxa"/>
            <w:tcMar>
              <w:top w:w="60" w:type="dxa"/>
              <w:left w:w="120" w:type="dxa"/>
              <w:bottom w:w="30" w:type="dxa"/>
              <w:right w:w="120" w:type="dxa"/>
            </w:tcMar>
          </w:tcPr>
          <w:p w14:paraId="489D0A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计算方式</w:t>
            </w:r>
          </w:p>
        </w:tc>
        <w:tc>
          <w:tcPr>
            <w:tcW w:w="2396" w:type="dxa"/>
            <w:tcMar>
              <w:top w:w="60" w:type="dxa"/>
              <w:left w:w="120" w:type="dxa"/>
              <w:bottom w:w="30" w:type="dxa"/>
              <w:right w:w="120" w:type="dxa"/>
            </w:tcMar>
          </w:tcPr>
          <w:p w14:paraId="04C1FB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目标值</w:t>
            </w:r>
          </w:p>
        </w:tc>
        <w:tc>
          <w:tcPr>
            <w:tcW w:w="2070" w:type="dxa"/>
            <w:tcMar>
              <w:top w:w="60" w:type="dxa"/>
              <w:left w:w="120" w:type="dxa"/>
              <w:bottom w:w="30" w:type="dxa"/>
              <w:right w:w="120" w:type="dxa"/>
            </w:tcMar>
          </w:tcPr>
          <w:p w14:paraId="1B783B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考核频次</w:t>
            </w:r>
          </w:p>
        </w:tc>
      </w:tr>
      <w:tr w14:paraId="65D1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tcPr>
          <w:p w14:paraId="59E4BAFD">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textAlignment w:val="baseline"/>
              <w:rPr>
                <w:rFonts w:hint="default" w:ascii="宋体" w:hAnsi="宋体" w:eastAsia="宋体" w:cs="宋体"/>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tcPr>
          <w:p w14:paraId="395B8BEE">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18" w:leftChars="0"/>
              <w:textAlignment w:val="baseline"/>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tcPr>
          <w:p w14:paraId="34BBEDBD">
            <w:pPr>
              <w:pStyle w:val="27"/>
              <w:keepNext w:val="0"/>
              <w:keepLines w:val="0"/>
              <w:pageBreakBefore w:val="0"/>
              <w:widowControl w:val="0"/>
              <w:kinsoku w:val="0"/>
              <w:wordWrap/>
              <w:overflowPunct/>
              <w:topLinePunct w:val="0"/>
              <w:autoSpaceDE w:val="0"/>
              <w:autoSpaceDN w:val="0"/>
              <w:bidi w:val="0"/>
              <w:adjustRightInd w:val="0"/>
              <w:snapToGrid w:val="0"/>
              <w:spacing w:before="235" w:line="237" w:lineRule="auto"/>
              <w:ind w:left="168" w:leftChars="0"/>
              <w:textAlignment w:val="baseline"/>
              <w:rPr>
                <w:rFonts w:hint="eastAsia"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tcPr>
          <w:p w14:paraId="1781DBC5">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62" w:leftChars="0"/>
              <w:textAlignment w:val="baseline"/>
              <w:rPr>
                <w:rFonts w:ascii="宋体" w:hAnsi="宋体" w:eastAsia="宋体" w:cs="宋体"/>
                <w:snapToGrid w:val="0"/>
                <w:color w:val="000000"/>
                <w:kern w:val="0"/>
                <w:sz w:val="24"/>
                <w:szCs w:val="24"/>
                <w:lang w:val="en-US" w:eastAsia="en-US" w:bidi="ar-SA"/>
              </w:rPr>
            </w:pPr>
            <w:r>
              <w:rPr>
                <w:spacing w:val="-6"/>
                <w:sz w:val="24"/>
                <w:szCs w:val="24"/>
              </w:rPr>
              <w:t>年度</w:t>
            </w:r>
          </w:p>
        </w:tc>
      </w:tr>
    </w:tbl>
    <w:p w14:paraId="57E92D3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5"/>
      <w:bookmarkStart w:id="33" w:name="_Toc23481"/>
      <w:r>
        <w:t>相关文件</w:t>
      </w:r>
      <w:bookmarkEnd w:id="32"/>
      <w:bookmarkEnd w:id="33"/>
    </w:p>
    <w:p w14:paraId="733CC2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《运维服务工具使用情况说明及效果自评估报告》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E2410A"/>
    <w:multiLevelType w:val="singleLevel"/>
    <w:tmpl w:val="DFE2410A"/>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A44D39"/>
    <w:rsid w:val="24933097"/>
    <w:rsid w:val="262B46D7"/>
    <w:rsid w:val="6A7254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1435</Words>
  <Characters>1566</Characters>
  <Lines>0</Lines>
  <Paragraphs>0</Paragraphs>
  <TotalTime>1</TotalTime>
  <ScaleCrop>false</ScaleCrop>
  <LinksUpToDate>false</LinksUpToDate>
  <CharactersWithSpaces>1724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2026-02-19T04:29:57Z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