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22614"/>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1" w:name="_Toc10076"/>
      <w:r>
        <w:rPr>
          <w:rFonts w:hint="eastAsia"/>
          <w:lang w:val="en-US" w:eastAsia="zh-CN"/>
        </w:rPr>
        <w:t>服务目录管理制度</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5949"/>
      <w:r>
        <w:rPr>
          <w:rFonts w:hint="eastAsia"/>
          <w:lang w:val="en-US" w:eastAsia="zh-CN"/>
        </w:rPr>
        <w:t>（HXDL-ITSS-0101）</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7534"/>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rPr>
          <w:rFonts w:hint="default"/>
          <w:lang w:val="en-US" w:eastAsia="zh-CN"/>
        </w:rPr>
      </w:pPr>
      <w:r>
        <w:rPr>
          <w:rFonts w:hint="default"/>
          <w:lang w:val="en-US" w:eastAsia="zh-CN"/>
        </w:rPr>
        <w:br w:type="page"/>
      </w: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69961"/>
        <w:docPartObj>
          <w:docPartGallery w:val="Table of Contents"/>
          <w:docPartUnique/>
        </w:docPartObj>
      </w:sdtPr>
      <w:sdtEndPr>
        <w:rPr>
          <w:rFonts w:ascii="Arial" w:eastAsia="宋体" w:hAnsi="Arial" w:cs="Arial" w:hint="default"/>
          <w:snapToGrid w:val="0"/>
          <w:color w:val="000000"/>
          <w:kern w:val="0"/>
          <w:sz w:val="21"/>
          <w:szCs w:val="21"/>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_Toc22614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_Toc22614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_Toc10076 </w:instrText>
          </w:r>
          <w:r>
            <w:rPr>
              <w:rFonts w:hint="default"/>
              <w:lang w:val="en-US" w:eastAsia="zh-CN"/>
            </w:rPr>
            <w:fldChar w:fldCharType="separate"/>
          </w:r>
          <w:r>
            <w:rPr>
              <w:rFonts w:hint="eastAsia"/>
              <w:lang w:val="en-US" w:eastAsia="zh-CN"/>
            </w:rPr>
            <w:t>服务目录管理制度</w:t>
          </w:r>
          <w:r>
            <w:tab/>
          </w:r>
          <w:r>
            <w:fldChar w:fldCharType="begin"/>
          </w:r>
          <w:r>
            <w:instrText xml:space="preserve"> PAGEREF _Toc10076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_Toc5949 </w:instrText>
          </w:r>
          <w:r>
            <w:rPr>
              <w:rFonts w:hint="default"/>
              <w:lang w:val="en-US" w:eastAsia="zh-CN"/>
            </w:rPr>
            <w:fldChar w:fldCharType="separate"/>
          </w:r>
          <w:r>
            <w:rPr>
              <w:rFonts w:hint="eastAsia"/>
              <w:lang w:val="en-US" w:eastAsia="zh-CN"/>
            </w:rPr>
            <w:t>（HXDL-ITSS-0101）</w:t>
          </w:r>
          <w:r>
            <w:tab/>
          </w:r>
          <w:r>
            <w:fldChar w:fldCharType="begin"/>
          </w:r>
          <w:r>
            <w:instrText xml:space="preserve"> PAGEREF _Toc5949 \h </w:instrText>
          </w:r>
          <w:r>
            <w:fldChar w:fldCharType="separate"/>
          </w:r>
          <w:r>
            <w:t>1</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_Toc7534 </w:instrText>
          </w:r>
          <w:r>
            <w:rPr>
              <w:rFonts w:hint="default"/>
              <w:lang w:val="en-US" w:eastAsia="zh-CN"/>
            </w:rPr>
            <w:fldChar w:fldCharType="separate"/>
          </w:r>
          <w:r>
            <w:rPr>
              <w:rFonts w:ascii="宋体" w:eastAsia="宋体" w:hAnsi="宋体" w:cs="宋体"/>
              <w:bCs/>
              <w:spacing w:val="-4"/>
              <w:szCs w:val="30"/>
            </w:rPr>
            <w:t>文件编制和变更履历</w:t>
          </w:r>
          <w:r>
            <w:tab/>
          </w:r>
          <w:r>
            <w:fldChar w:fldCharType="begin"/>
          </w:r>
          <w:r>
            <w:instrText xml:space="preserve"> PAGEREF _Toc7534 \h </w:instrText>
          </w:r>
          <w:r>
            <w:fldChar w:fldCharType="separate"/>
          </w:r>
          <w:r>
            <w:t>2</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_Toc842 </w:instrText>
          </w:r>
          <w:r>
            <w:rPr>
              <w:rFonts w:hint="default"/>
              <w:lang w:val="en-US" w:eastAsia="zh-CN"/>
            </w:rPr>
            <w:fldChar w:fldCharType="separate"/>
          </w:r>
          <w:r>
            <w:rPr>
              <w:rFonts w:hint="default"/>
            </w:rPr>
            <w:t xml:space="preserve">1. </w:t>
          </w:r>
          <w:r>
            <w:t>目的</w:t>
          </w:r>
          <w:r>
            <w:tab/>
          </w:r>
          <w:r>
            <w:fldChar w:fldCharType="begin"/>
          </w:r>
          <w:r>
            <w:instrText xml:space="preserve"> PAGEREF _Toc842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_Toc15001 </w:instrText>
          </w:r>
          <w:r>
            <w:rPr>
              <w:rFonts w:hint="default"/>
              <w:lang w:val="en-US" w:eastAsia="zh-CN"/>
            </w:rPr>
            <w:fldChar w:fldCharType="separate"/>
          </w:r>
          <w:r>
            <w:rPr>
              <w:rFonts w:hint="default"/>
            </w:rPr>
            <w:t xml:space="preserve">2. </w:t>
          </w:r>
          <w:r>
            <w:t>适应范围</w:t>
          </w:r>
          <w:r>
            <w:tab/>
          </w:r>
          <w:r>
            <w:fldChar w:fldCharType="begin"/>
          </w:r>
          <w:r>
            <w:instrText xml:space="preserve"> PAGEREF _Toc15001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_Toc9074 </w:instrText>
          </w:r>
          <w:r>
            <w:rPr>
              <w:rFonts w:hint="default"/>
              <w:lang w:val="en-US" w:eastAsia="zh-CN"/>
            </w:rPr>
            <w:fldChar w:fldCharType="separate"/>
          </w:r>
          <w:r>
            <w:rPr>
              <w:rFonts w:hint="default"/>
            </w:rPr>
            <w:t xml:space="preserve">3. </w:t>
          </w:r>
          <w:r>
            <w:t>角色与职责</w:t>
          </w:r>
          <w:r>
            <w:tab/>
          </w:r>
          <w:r>
            <w:fldChar w:fldCharType="begin"/>
          </w:r>
          <w:r>
            <w:instrText xml:space="preserve"> PAGEREF _Toc9074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_Toc8264 </w:instrText>
          </w:r>
          <w:r>
            <w:rPr>
              <w:rFonts w:hint="default"/>
              <w:lang w:val="en-US" w:eastAsia="zh-CN"/>
            </w:rPr>
            <w:fldChar w:fldCharType="separate"/>
          </w:r>
          <w:r>
            <w:rPr>
              <w:rFonts w:hint="default"/>
            </w:rPr>
            <w:t xml:space="preserve">4. </w:t>
          </w:r>
          <w:r>
            <w:t>服务目录修订参考依据</w:t>
          </w:r>
          <w:r>
            <w:tab/>
          </w:r>
          <w:r>
            <w:fldChar w:fldCharType="begin"/>
          </w:r>
          <w:r>
            <w:instrText xml:space="preserve"> PAGEREF _Toc8264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_Toc6294 </w:instrText>
          </w:r>
          <w:r>
            <w:rPr>
              <w:rFonts w:hint="default"/>
              <w:lang w:val="en-US" w:eastAsia="zh-CN"/>
            </w:rPr>
            <w:fldChar w:fldCharType="separate"/>
          </w:r>
          <w:r>
            <w:rPr>
              <w:rFonts w:hint="default"/>
            </w:rPr>
            <w:t xml:space="preserve">5. </w:t>
          </w:r>
          <w:r>
            <w:t>流程描述</w:t>
          </w:r>
          <w:r>
            <w:tab/>
          </w:r>
          <w:r>
            <w:fldChar w:fldCharType="begin"/>
          </w:r>
          <w:r>
            <w:instrText xml:space="preserve"> PAGEREF _Toc6294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_Toc25711 </w:instrText>
          </w:r>
          <w:r>
            <w:rPr>
              <w:rFonts w:hint="default"/>
              <w:lang w:val="en-US" w:eastAsia="zh-CN"/>
            </w:rPr>
            <w:fldChar w:fldCharType="separate"/>
          </w:r>
          <w:r>
            <w:rPr>
              <w:rFonts w:hint="default"/>
            </w:rPr>
            <w:t xml:space="preserve">5.1. </w:t>
          </w:r>
          <w:r>
            <w:t>输入和输出准则</w:t>
          </w:r>
          <w:r>
            <w:tab/>
          </w:r>
          <w:r>
            <w:fldChar w:fldCharType="begin"/>
          </w:r>
          <w:r>
            <w:instrText xml:space="preserve"> PAGEREF _Toc25711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_Toc7942 </w:instrText>
          </w:r>
          <w:r>
            <w:rPr>
              <w:rFonts w:hint="default"/>
              <w:lang w:val="en-US" w:eastAsia="zh-CN"/>
            </w:rPr>
            <w:fldChar w:fldCharType="separate"/>
          </w:r>
          <w:r>
            <w:rPr>
              <w:rFonts w:hint="default"/>
            </w:rPr>
            <w:t xml:space="preserve">5.2. </w:t>
          </w:r>
          <w:r>
            <w:t>流程图</w:t>
          </w:r>
          <w:r>
            <w:tab/>
          </w:r>
          <w:r>
            <w:fldChar w:fldCharType="begin"/>
          </w:r>
          <w:r>
            <w:instrText xml:space="preserve"> PAGEREF _Toc7942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_Toc8073 </w:instrText>
          </w:r>
          <w:r>
            <w:rPr>
              <w:rFonts w:hint="default"/>
              <w:lang w:val="en-US" w:eastAsia="zh-CN"/>
            </w:rPr>
            <w:fldChar w:fldCharType="separate"/>
          </w:r>
          <w:r>
            <w:rPr>
              <w:rFonts w:hint="default"/>
            </w:rPr>
            <w:t xml:space="preserve">5.3. </w:t>
          </w:r>
          <w:r>
            <w:t>流程描述</w:t>
          </w:r>
          <w:r>
            <w:tab/>
          </w:r>
          <w:r>
            <w:fldChar w:fldCharType="begin"/>
          </w:r>
          <w:r>
            <w:instrText xml:space="preserve"> PAGEREF _Toc8073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_Toc11545 </w:instrText>
          </w:r>
          <w:r>
            <w:rPr>
              <w:rFonts w:hint="default"/>
              <w:lang w:val="en-US" w:eastAsia="zh-CN"/>
            </w:rPr>
            <w:fldChar w:fldCharType="separate"/>
          </w:r>
          <w:r>
            <w:rPr>
              <w:rFonts w:hint="default"/>
            </w:rPr>
            <w:t xml:space="preserve">5.3.1. </w:t>
          </w:r>
          <w:r>
            <w:t>收集需求</w:t>
          </w:r>
          <w:r>
            <w:tab/>
          </w:r>
          <w:r>
            <w:fldChar w:fldCharType="begin"/>
          </w:r>
          <w:r>
            <w:instrText xml:space="preserve"> PAGEREF _Toc11545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_Toc14155 </w:instrText>
          </w:r>
          <w:r>
            <w:rPr>
              <w:rFonts w:hint="default"/>
              <w:lang w:val="en-US" w:eastAsia="zh-CN"/>
            </w:rPr>
            <w:fldChar w:fldCharType="separate"/>
          </w:r>
          <w:r>
            <w:rPr>
              <w:rFonts w:hint="default"/>
            </w:rPr>
            <w:t xml:space="preserve">5.3.2. </w:t>
          </w:r>
          <w:r>
            <w:t>汇总需求</w:t>
          </w:r>
          <w:r>
            <w:tab/>
          </w:r>
          <w:r>
            <w:fldChar w:fldCharType="begin"/>
          </w:r>
          <w:r>
            <w:instrText xml:space="preserve"> PAGEREF _Toc14155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_Toc8066 </w:instrText>
          </w:r>
          <w:r>
            <w:rPr>
              <w:rFonts w:hint="default"/>
              <w:lang w:val="en-US" w:eastAsia="zh-CN"/>
            </w:rPr>
            <w:fldChar w:fldCharType="separate"/>
          </w:r>
          <w:r>
            <w:rPr>
              <w:rFonts w:hint="default"/>
            </w:rPr>
            <w:t xml:space="preserve">5.3.3. </w:t>
          </w:r>
          <w:r>
            <w:t>修订服务目录</w:t>
          </w:r>
          <w:r>
            <w:tab/>
          </w:r>
          <w:r>
            <w:fldChar w:fldCharType="begin"/>
          </w:r>
          <w:r>
            <w:instrText xml:space="preserve"> PAGEREF _Toc8066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_Toc13352 </w:instrText>
          </w:r>
          <w:r>
            <w:rPr>
              <w:rFonts w:hint="default"/>
              <w:lang w:val="en-US" w:eastAsia="zh-CN"/>
            </w:rPr>
            <w:fldChar w:fldCharType="separate"/>
          </w:r>
          <w:r>
            <w:rPr>
              <w:rFonts w:hint="default"/>
            </w:rPr>
            <w:t xml:space="preserve">5.3.4. </w:t>
          </w:r>
          <w:r>
            <w:t>评审</w:t>
          </w:r>
          <w:r>
            <w:tab/>
          </w:r>
          <w:r>
            <w:fldChar w:fldCharType="begin"/>
          </w:r>
          <w:r>
            <w:instrText xml:space="preserve"> PAGEREF _Toc13352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_Toc10566 </w:instrText>
          </w:r>
          <w:r>
            <w:rPr>
              <w:rFonts w:hint="default"/>
              <w:lang w:val="en-US" w:eastAsia="zh-CN"/>
            </w:rPr>
            <w:fldChar w:fldCharType="separate"/>
          </w:r>
          <w:r>
            <w:rPr>
              <w:rFonts w:hint="default"/>
            </w:rPr>
            <w:t xml:space="preserve">5.3.5. </w:t>
          </w:r>
          <w:r>
            <w:t>审批服务目录</w:t>
          </w:r>
          <w:r>
            <w:tab/>
          </w:r>
          <w:r>
            <w:fldChar w:fldCharType="begin"/>
          </w:r>
          <w:r>
            <w:instrText xml:space="preserve"> PAGEREF _Toc10566 \h </w:instrText>
          </w:r>
          <w:r>
            <w:fldChar w:fldCharType="separate"/>
          </w:r>
          <w:r>
            <w:t>7</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_Toc8166 </w:instrText>
          </w:r>
          <w:r>
            <w:rPr>
              <w:rFonts w:hint="default"/>
              <w:lang w:val="en-US" w:eastAsia="zh-CN"/>
            </w:rPr>
            <w:fldChar w:fldCharType="separate"/>
          </w:r>
          <w:r>
            <w:rPr>
              <w:rFonts w:hint="default"/>
            </w:rPr>
            <w:t xml:space="preserve">5.3.6. </w:t>
          </w:r>
          <w:r>
            <w:t>发布服务目录</w:t>
          </w:r>
          <w:r>
            <w:tab/>
          </w:r>
          <w:r>
            <w:fldChar w:fldCharType="begin"/>
          </w:r>
          <w:r>
            <w:instrText xml:space="preserve"> PAGEREF _Toc8166 \h </w:instrText>
          </w:r>
          <w:r>
            <w:fldChar w:fldCharType="separate"/>
          </w:r>
          <w:r>
            <w:t>8</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_Toc11402 </w:instrText>
          </w:r>
          <w:r>
            <w:rPr>
              <w:rFonts w:hint="default"/>
              <w:lang w:val="en-US" w:eastAsia="zh-CN"/>
            </w:rPr>
            <w:fldChar w:fldCharType="separate"/>
          </w:r>
          <w:r>
            <w:rPr>
              <w:rFonts w:hint="default"/>
            </w:rPr>
            <w:t xml:space="preserve">6. </w:t>
          </w:r>
          <w:r>
            <w:t>制度说明</w:t>
          </w:r>
          <w:r>
            <w:tab/>
          </w:r>
          <w:r>
            <w:fldChar w:fldCharType="begin"/>
          </w:r>
          <w:r>
            <w:instrText xml:space="preserve"> PAGEREF _Toc11402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_Toc7623 </w:instrText>
          </w:r>
          <w:r>
            <w:rPr>
              <w:rFonts w:hint="default"/>
              <w:lang w:val="en-US" w:eastAsia="zh-CN"/>
            </w:rPr>
            <w:fldChar w:fldCharType="separate"/>
          </w:r>
          <w:r>
            <w:rPr>
              <w:rFonts w:hint="default"/>
            </w:rPr>
            <w:t xml:space="preserve">6.1. </w:t>
          </w:r>
          <w:r>
            <w:t>通过准则</w:t>
          </w:r>
          <w:r>
            <w:tab/>
          </w:r>
          <w:r>
            <w:fldChar w:fldCharType="begin"/>
          </w:r>
          <w:r>
            <w:instrText xml:space="preserve"> PAGEREF _Toc7623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_Toc2693 </w:instrText>
          </w:r>
          <w:r>
            <w:rPr>
              <w:rFonts w:hint="default"/>
              <w:lang w:val="en-US" w:eastAsia="zh-CN"/>
            </w:rPr>
            <w:fldChar w:fldCharType="separate"/>
          </w:r>
          <w:r>
            <w:rPr>
              <w:rFonts w:hint="default"/>
            </w:rPr>
            <w:t xml:space="preserve">6.2. </w:t>
          </w:r>
          <w:r>
            <w:t>过程重要控制点</w:t>
          </w:r>
          <w:r>
            <w:tab/>
          </w:r>
          <w:r>
            <w:fldChar w:fldCharType="begin"/>
          </w:r>
          <w:r>
            <w:instrText xml:space="preserve"> PAGEREF _Toc2693 \h </w:instrText>
          </w:r>
          <w:r>
            <w:fldChar w:fldCharType="separate"/>
          </w:r>
          <w:r>
            <w:t>8</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_Toc12569 </w:instrText>
          </w:r>
          <w:r>
            <w:rPr>
              <w:rFonts w:hint="default"/>
              <w:lang w:val="en-US" w:eastAsia="zh-CN"/>
            </w:rPr>
            <w:fldChar w:fldCharType="separate"/>
          </w:r>
          <w:r>
            <w:rPr>
              <w:rFonts w:hint="default"/>
            </w:rPr>
            <w:t xml:space="preserve">7. </w:t>
          </w:r>
          <w:r>
            <w:t>过程测量指标</w:t>
          </w:r>
          <w:r>
            <w:tab/>
          </w:r>
          <w:r>
            <w:fldChar w:fldCharType="begin"/>
          </w:r>
          <w:r>
            <w:instrText xml:space="preserve"> PAGEREF _Toc12569 \h </w:instrText>
          </w:r>
          <w:r>
            <w:fldChar w:fldCharType="separate"/>
          </w:r>
          <w:r>
            <w:t>8</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_Toc11362 </w:instrText>
          </w:r>
          <w:r>
            <w:rPr>
              <w:rFonts w:hint="default"/>
              <w:lang w:val="en-US" w:eastAsia="zh-CN"/>
            </w:rPr>
            <w:fldChar w:fldCharType="separate"/>
          </w:r>
          <w:r>
            <w:rPr>
              <w:rFonts w:hint="default"/>
            </w:rPr>
            <w:t xml:space="preserve">8. </w:t>
          </w:r>
          <w:r>
            <w:t>服务目录与其它流程的关系</w:t>
          </w:r>
          <w:r>
            <w:tab/>
          </w:r>
          <w:r>
            <w:fldChar w:fldCharType="begin"/>
          </w:r>
          <w:r>
            <w:instrText xml:space="preserve"> PAGEREF _Toc11362 \h </w:instrText>
          </w:r>
          <w:r>
            <w:fldChar w:fldCharType="separate"/>
          </w:r>
          <w:r>
            <w:t>8</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_Toc3371 </w:instrText>
          </w:r>
          <w:r>
            <w:rPr>
              <w:rFonts w:hint="default"/>
              <w:lang w:val="en-US" w:eastAsia="zh-CN"/>
            </w:rPr>
            <w:fldChar w:fldCharType="separate"/>
          </w:r>
          <w:r>
            <w:rPr>
              <w:rFonts w:hint="default"/>
            </w:rPr>
            <w:t xml:space="preserve">9. </w:t>
          </w:r>
          <w:r>
            <w:t>相关文档</w:t>
          </w:r>
          <w:r>
            <w:tab/>
          </w:r>
          <w:r>
            <w:fldChar w:fldCharType="begin"/>
          </w:r>
          <w:r>
            <w:instrText xml:space="preserve"> PAGEREF _Toc3371 \h </w:instrText>
          </w:r>
          <w:r>
            <w:fldChar w:fldCharType="separate"/>
          </w:r>
          <w:r>
            <w:t>9</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_Toc21462 </w:instrText>
          </w:r>
          <w:r>
            <w:rPr>
              <w:rFonts w:hint="default"/>
              <w:lang w:val="en-US" w:eastAsia="zh-CN"/>
            </w:rPr>
            <w:fldChar w:fldCharType="separate"/>
          </w:r>
          <w:r>
            <w:rPr>
              <w:rFonts w:hint="default"/>
            </w:rPr>
            <w:t xml:space="preserve">10. </w:t>
          </w:r>
          <w:r>
            <w:t>相关记录</w:t>
          </w:r>
          <w:r>
            <w:tab/>
          </w:r>
          <w:r>
            <w:fldChar w:fldCharType="begin"/>
          </w:r>
          <w:r>
            <w:instrText xml:space="preserve"> PAGEREF _Toc21462 \h </w:instrText>
          </w:r>
          <w:r>
            <w:fldChar w:fldCharType="separate"/>
          </w:r>
          <w:r>
            <w:t>9</w:t>
          </w:r>
          <w:r>
            <w:fldChar w:fldCharType="end"/>
          </w:r>
          <w:r>
            <w:rPr>
              <w:rFonts w:hint="default"/>
              <w:lang w:val="en-US" w:eastAsia="zh-CN"/>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宋体" w:hAnsi="Arial" w:cs="Arial" w:hint="default"/>
              <w:snapToGrid w:val="0"/>
              <w:color w:val="000000"/>
              <w:kern w:val="0"/>
              <w:sz w:val="21"/>
              <w:szCs w:val="21"/>
              <w:lang w:val="en-US" w:eastAsia="zh-CN" w:bidi="ar-SA"/>
            </w:rPr>
          </w:pPr>
          <w:r>
            <w:rPr>
              <w:rFonts w:hint="default"/>
              <w:lang w:val="en-US" w:eastAsia="zh-CN"/>
            </w:rPr>
            <w:fldChar w:fldCharType="end"/>
          </w:r>
        </w:p>
      </w:sdtContent>
    </w:sdt>
    <w:p>
      <w:pPr>
        <w:rPr>
          <w:rFonts w:ascii="Arial" w:eastAsia="宋体" w:hAnsi="Arial" w:cs="Arial" w:hint="default"/>
          <w:snapToGrid w:val="0"/>
          <w:color w:val="000000"/>
          <w:kern w:val="0"/>
          <w:sz w:val="21"/>
          <w:szCs w:val="21"/>
          <w:lang w:val="en-US" w:eastAsia="zh-CN" w:bidi="ar-SA"/>
        </w:rPr>
      </w:pPr>
      <w:r>
        <w:rPr>
          <w:rFonts w:ascii="Arial" w:eastAsia="宋体" w:hAnsi="Arial" w:cs="Arial" w:hint="default"/>
          <w:snapToGrid w:val="0"/>
          <w:color w:val="000000"/>
          <w:kern w:val="0"/>
          <w:sz w:val="21"/>
          <w:szCs w:val="21"/>
          <w:lang w:val="en-US" w:eastAsia="zh-CN"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842"/>
      <w:r>
        <w:t>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当服务环境或服务需求发生变化或新产生时，可能引发新的服务设计或服务变更。本文件的目的在于指导公司</w:t>
      </w:r>
      <w:r>
        <w:rPr>
          <w:rFonts w:hint="eastAsia"/>
          <w:lang w:eastAsia="zh-CN"/>
        </w:rPr>
        <w:t>运维部</w:t>
      </w:r>
      <w:r>
        <w:t>按照规程编制和定期更新产品服务目录，支持产品系列的形成和扩展，增强市场拓展能力。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2"/>
      <w:bookmarkEnd w:id="5"/>
      <w:bookmarkStart w:id="6" w:name="_Toc15001"/>
      <w:r>
        <w:t>适应范围</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适用于公司</w:t>
      </w:r>
      <w:r>
        <w:rPr>
          <w:rFonts w:hint="eastAsia"/>
          <w:lang w:eastAsia="zh-CN"/>
        </w:rPr>
        <w:t>运维部</w:t>
      </w:r>
      <w:r>
        <w:t>对服务产品目录的编制和更新管理。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bookmark3"/>
      <w:bookmarkEnd w:id="7"/>
      <w:bookmarkStart w:id="8" w:name="_Toc9074"/>
      <w:r>
        <w:t>角色与职责</w:t>
      </w:r>
      <w:bookmarkEnd w:id="8"/>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各项目中的项目经理负责收集、整理所辖项目的服务目录变更需求；对自己下辖项目的服务变更负责；审核服务变更的需求；负责服务变更的顺利实施；负责跟踪变更的状态，直到关闭；负责与上级的沟通汇报；</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val="en-US" w:eastAsia="zh-CN"/>
        </w:rPr>
        <w:t>运维人员</w:t>
      </w:r>
      <w:r>
        <w:t>向项目经理收集汇总的修订需求，给出修订意见，并参考修订意见进行修订。</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评审组由服务目录涉及相关部门及角色组成，包含但不限于以下角色：</w:t>
      </w:r>
      <w:r>
        <w:rPr>
          <w:rFonts w:hint="eastAsia"/>
          <w:lang w:val="en-US" w:eastAsia="zh-CN"/>
        </w:rPr>
        <w:t>运维部经理、质量部经理、人力资源部经理、研发部经理、服务台专员等</w:t>
      </w:r>
      <w:r>
        <w:t>，按《管理评审程序》组织评审。</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eastAsia="zh-CN"/>
        </w:rPr>
        <w:t>运维部</w:t>
      </w:r>
      <w:r>
        <w:t>经理针对修订、评审通过后的服务目录进行审核。</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eastAsia="zh-CN"/>
        </w:rPr>
        <w:t>人力资源部</w:t>
      </w:r>
      <w:r>
        <w:t>经理对评审通过后的服务目录进行发布。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bookmark4"/>
      <w:bookmarkEnd w:id="9"/>
      <w:bookmarkStart w:id="10" w:name="_Toc8264"/>
      <w:r>
        <w:t>服务目录修订参考依据</w:t>
      </w:r>
      <w:bookmarkEnd w:id="10"/>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对服务目录的结构进行修改和调整，应满足服务产品系列调整和扩充的需要，并能清晰正确地反应服务发展目标；</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修订过程中需要对已有服务目录中的服务产品描述进行重新审核和必要修订；</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应将年度开发的服务产品加入到服务目录中，并保持整个目录的风格一致性；</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新建的服务需要确认该服务是否会导致其他服务内容的变更，新建服务后是否可以带来其他方面的效益或优势。</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调用之前服务的SLA合同，并评估是否与原合同相冲突。</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变更的服务需要评估服务变更可能造成的影响；</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针对收集的修改建议，判断是否满足现阶段的人力和物理成本要求；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6294"/>
      <w:r>
        <w:t>流程描述</w:t>
      </w:r>
      <w:bookmarkEnd w:id="1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bookmark6"/>
      <w:bookmarkEnd w:id="12"/>
      <w:bookmarkStart w:id="13" w:name="_Toc25711"/>
      <w:r>
        <w:t>输入和输出准则</w:t>
      </w:r>
      <w:bookmarkEnd w:id="13"/>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67"/>
        <w:textAlignment w:val="baseline"/>
        <w:rPr>
          <w:rFonts w:ascii="仿宋" w:eastAsia="仿宋" w:hAnsi="仿宋" w:cs="仿宋"/>
          <w:sz w:val="24"/>
          <w:szCs w:val="24"/>
        </w:rPr>
      </w:pPr>
      <w:r>
        <w:rPr>
          <w:rFonts w:ascii="Wingdings" w:eastAsia="Wingdings" w:hAnsi="Wingdings" w:cs="Wingdings"/>
          <w:spacing w:val="4"/>
          <w:sz w:val="24"/>
          <w:szCs w:val="24"/>
        </w:rPr>
        <w:t>u</w:t>
      </w:r>
      <w:r>
        <w:rPr>
          <w:rFonts w:ascii="仿宋" w:eastAsia="仿宋" w:hAnsi="仿宋" w:cs="仿宋"/>
          <w:spacing w:val="4"/>
          <w:sz w:val="24"/>
          <w:szCs w:val="24"/>
        </w:rPr>
        <w:t>主要输入</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服务目录自我评估识别出的修订、新增的需求；</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管理评审、内部审核提出的需求；</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客户方审核及第三方体系审核结果；</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定期对</w:t>
      </w:r>
      <w:r>
        <w:rPr>
          <w:rFonts w:hint="eastAsia"/>
          <w:lang w:val="en-US" w:eastAsia="zh-CN"/>
        </w:rPr>
        <w:t>服务知识</w:t>
      </w:r>
      <w:r>
        <w:t>、资产库进行整理、分析，识别有关服务目录的改进项；</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项目经理收集到的需求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7942"/>
      <w:r>
        <w:t>流程图</w:t>
      </w:r>
      <w:bookmarkEnd w:id="14"/>
    </w:p>
    <w:p>
      <w:pPr>
        <w:pStyle w:val="a3"/>
        <w:bidi w:val="0"/>
        <w:rPr>
          <w:rFonts w:hint="default"/>
          <w:lang w:val="en-US" w:eastAsia="zh-CN"/>
        </w:rPr>
      </w:pPr>
      <w:r>
        <w:drawing>
          <wp:inline distT="0" distB="0" distL="114300" distR="114300">
            <wp:extent cx="5272405" cy="4254500"/>
            <wp:effectExtent l="0" t="0" r="63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4"/>
                    <a:stretch>
                      <a:fillRect/>
                    </a:stretch>
                  </pic:blipFill>
                  <pic:spPr>
                    <a:xfrm>
                      <a:off x="0" y="0"/>
                      <a:ext cx="5272405" cy="4254500"/>
                    </a:xfrm>
                    <a:prstGeom prst="rect">
                      <a:avLst/>
                    </a:prstGeom>
                    <a:noFill/>
                    <a:ln>
                      <a:noFill/>
                    </a:ln>
                  </pic:spPr>
                </pic:pic>
              </a:graphicData>
            </a:graphic>
          </wp:inline>
        </w:drawing>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8073"/>
      <w:r>
        <w:t>流程描述</w:t>
      </w:r>
      <w:bookmarkEnd w:id="1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11545"/>
      <w:r>
        <w:t>收集需求</w:t>
      </w:r>
      <w:bookmarkEnd w:id="16"/>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项目经理收集来自项目中反馈的有关服务目录的相关需求，提交至</w:t>
      </w:r>
      <w:r>
        <w:rPr>
          <w:rFonts w:hint="eastAsia"/>
          <w:lang w:val="en-US" w:eastAsia="zh-CN"/>
        </w:rPr>
        <w:t>运维部</w:t>
      </w:r>
      <w:r>
        <w:t>；</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公司在进行管理评审、内审过程中针对服务目录的改进建议或需求，提交至</w:t>
      </w:r>
      <w:r>
        <w:rPr>
          <w:rFonts w:hint="eastAsia"/>
          <w:lang w:val="en-US" w:eastAsia="zh-CN"/>
        </w:rPr>
        <w:t>运维部</w:t>
      </w:r>
      <w:r>
        <w:t>；</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第三方审计公司在审核我司的服务目录过程中提出的意见或建议，由我司陪同人员提交至</w:t>
      </w:r>
      <w:r>
        <w:rPr>
          <w:rFonts w:hint="eastAsia"/>
          <w:lang w:eastAsia="zh-CN"/>
        </w:rPr>
        <w:t>运维部</w:t>
      </w:r>
      <w:r>
        <w:t>；</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服务的客户方针对我司的服务目录提出的建议或意见，由我司相关人员提交至</w:t>
      </w:r>
      <w:r>
        <w:rPr>
          <w:rFonts w:hint="eastAsia"/>
          <w:lang w:eastAsia="zh-CN"/>
        </w:rPr>
        <w:t>运维部</w:t>
      </w:r>
      <w:r>
        <w:t>；</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rPr>
          <w:rFonts w:hint="eastAsia"/>
          <w:lang w:eastAsia="zh-CN"/>
        </w:rPr>
        <w:t>运维部</w:t>
      </w:r>
      <w:r>
        <w:t>针对服务目录每年组织涉及部门代表、相关专家等进行1-2次的自我评估，识别服务目录的修订需求；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4155"/>
      <w:r>
        <w:t>汇总需求</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w:t>
      </w:r>
      <w:r>
        <w:t>定期汇总收集到的有关服务目录的相关需求，识别出涉及服务目录的修订/新增内容，整理提交至服务目录的修订人。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8066"/>
      <w:r>
        <w:t>修订服务目录</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w:t>
      </w:r>
      <w:r>
        <w:t>指定服务目录的修订人，根据接受到的修订需求，给出修订意见，着手修订。</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13352"/>
      <w:r>
        <w:t>评审</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服务目录修订完毕后，</w:t>
      </w:r>
      <w:r>
        <w:rPr>
          <w:rFonts w:hint="eastAsia"/>
          <w:lang w:eastAsia="zh-CN"/>
        </w:rPr>
        <w:t>运维部</w:t>
      </w:r>
      <w:r>
        <w:t>安排人员按照《管理评审程序》组织评审组对修订后的服务目录进行相关会议/邮件评审。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评审通过，则提交相关领导进行审批；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评审不通过，则驳回重新修订。</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10566"/>
      <w:r>
        <w:t>审批服务目录</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修订后的服务目录通过评审组的评审，则提交</w:t>
      </w:r>
      <w:r>
        <w:rPr>
          <w:rFonts w:hint="eastAsia"/>
          <w:lang w:eastAsia="zh-CN"/>
        </w:rPr>
        <w:t>运维部</w:t>
      </w:r>
      <w:r>
        <w:t>经理（必要时候需提交公司总经理最终审批）进行审批。</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8166"/>
      <w:r>
        <w:t>发布服务目录</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审批通过后的服务目录，在</w:t>
      </w:r>
      <w:r>
        <w:rPr>
          <w:rFonts w:hint="eastAsia"/>
          <w:lang w:eastAsia="zh-CN"/>
        </w:rPr>
        <w:t>运维部</w:t>
      </w:r>
      <w:r>
        <w:t>及相关部门进行发布，并按最新的服务目录执行</w:t>
      </w:r>
    </w:p>
    <w:p>
      <w:pPr>
        <w:pStyle w:val="1"/>
        <w:bidi w:val="0"/>
      </w:pPr>
      <w:bookmarkStart w:id="22" w:name="_Toc11402"/>
      <w:r>
        <w:t>制度说明</w:t>
      </w:r>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bookmark9"/>
      <w:bookmarkEnd w:id="23"/>
      <w:bookmarkStart w:id="24" w:name="bookmark10"/>
      <w:bookmarkEnd w:id="24"/>
      <w:bookmarkStart w:id="25" w:name="_Toc7623"/>
      <w:r>
        <w:t>通过准则</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审核的重点将在于服务产品目录结构清晰、合理、符合服务业务发展战略。满足这些要求，即认为新版服务目录符合要求。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bookmark11"/>
      <w:bookmarkEnd w:id="26"/>
      <w:bookmarkStart w:id="27" w:name="_Toc2693"/>
      <w:r>
        <w:t>过程重要控制点</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需求的判断：并非所有的服务需求都会引发服务的建立或变更，在新创建的服务和将进行变更的服务中，需要建议一条最核心的需求主线，根据这条需求主线来判断新出现的需求是否会引起服务的建立或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在服务目录的维护中，关注服务变更的数量、服务变更的影响、服务新建的数量、新服务或变更服务是否达到预期结果。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2569"/>
      <w:r>
        <w:t>过程测量指标</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服务目录的准确性和完整性。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服务级别过程负责人负责收集服务目录实施数据并进行分析和度量，并把分析结果编写到《服务级别管理报告》中，主要关注服务目录的准确性和完整性。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其中度量的项目包括：</w:t>
      </w:r>
    </w:p>
    <w:p>
      <w:pPr>
        <w:pStyle w:val="a3"/>
        <w:numPr>
          <w:ilvl w:val="0"/>
          <w:numId w:val="6"/>
        </w:numPr>
        <w:bidi w:val="0"/>
      </w:pPr>
      <w:r>
        <w:t>服务目录中记录和管理的服务数目与现实环境中交付的服务数目的比例。</w:t>
      </w:r>
    </w:p>
    <w:p>
      <w:pPr>
        <w:pStyle w:val="a3"/>
        <w:numPr>
          <w:ilvl w:val="0"/>
          <w:numId w:val="6"/>
        </w:numPr>
        <w:bidi w:val="0"/>
      </w:pPr>
      <w:r>
        <w:t>服务目录中记录和管理的服务详述与现实环境中交付服务目录详述内容匹配的程度。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11362"/>
      <w:r>
        <w:t>服务目录与其它流程的关系</w:t>
      </w:r>
      <w:bookmarkEnd w:id="29"/>
    </w:p>
    <w:p>
      <w:pPr>
        <w:pStyle w:val="a1"/>
      </w:pPr>
      <w:r>
        <w:drawing>
          <wp:inline distT="0" distB="0" distL="114300" distR="114300">
            <wp:extent cx="3619500" cy="2619375"/>
            <wp:effectExtent l="0" t="0" r="762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3619500" cy="2619375"/>
                    </a:xfrm>
                    <a:prstGeom prst="rect">
                      <a:avLst/>
                    </a:prstGeom>
                    <a:noFill/>
                    <a:ln>
                      <a:noFill/>
                    </a:ln>
                  </pic:spPr>
                </pic:pic>
              </a:graphicData>
            </a:graphic>
          </wp:inline>
        </w:drawing>
      </w:r>
    </w:p>
    <w:p>
      <w:pPr>
        <w:pStyle w:val="a1"/>
        <w:bidi w:val="0"/>
      </w:pPr>
      <w:bookmarkStart w:id="30" w:name="_GoBack"/>
      <w:r>
        <w:t>服务级别管理：服务级别管理需要使用服务目录管理的成果——服务目录，来编制每个项目的SLA。服务目录管理则需要参照服务级别管理的执行情况报告，来分析运维业务的发展变化，据此更新公司的运维服务目录，以适应用户需求的不断变化。</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End w:id="30"/>
      <w:bookmarkStart w:id="31" w:name="bookmark12"/>
      <w:bookmarkEnd w:id="31"/>
      <w:bookmarkStart w:id="32" w:name="bookmark14"/>
      <w:bookmarkEnd w:id="32"/>
      <w:bookmarkStart w:id="33" w:name="bookmark13"/>
      <w:bookmarkEnd w:id="33"/>
      <w:bookmarkStart w:id="34" w:name="_Toc3371"/>
      <w:r>
        <w:t>相关文档</w:t>
      </w:r>
      <w:bookmarkEnd w:id="34"/>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《管理评审程序》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bookmark15"/>
      <w:bookmarkEnd w:id="35"/>
      <w:bookmarkStart w:id="36" w:name="_Toc21462"/>
      <w:r>
        <w:t>相关记录</w:t>
      </w:r>
      <w:bookmarkEnd w:id="36"/>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《运维服务目录评审记录表》</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default"/>
          <w:lang w:val="en-US" w:eastAsia="zh-CN"/>
        </w:rPr>
      </w:pPr>
      <w:r>
        <w:t>《运维服务目录》</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D11DEE9"/>
    <w:multiLevelType w:val="singleLevel"/>
    <w:tmpl w:val="9D11DEE9"/>
    <w:lvl w:ilvl="0">
      <w:start w:val="1"/>
      <w:numFmt w:val="decimal"/>
      <w:lvlText w:val="%1."/>
      <w:lvlJc w:val="left"/>
      <w:pPr>
        <w:ind w:left="425" w:hanging="425"/>
      </w:pPr>
      <w:rPr>
        <w:rFonts w:hint="default"/>
      </w:rPr>
    </w:lvl>
  </w:abstractNum>
  <w:abstractNum w:abstractNumId="2">
    <w:nsid w:val="C4E861EF"/>
    <w:multiLevelType w:val="singleLevel"/>
    <w:tmpl w:val="C4E861EF"/>
    <w:lvl w:ilvl="0">
      <w:start w:val="1"/>
      <w:numFmt w:val="decimal"/>
      <w:lvlText w:val="%1."/>
      <w:lvlJc w:val="left"/>
      <w:pPr>
        <w:ind w:left="425" w:hanging="425"/>
      </w:pPr>
      <w:rPr>
        <w:rFonts w:hint="default"/>
      </w:rPr>
    </w:lvl>
  </w:abstractNum>
  <w:abstractNum w:abstractNumId="3">
    <w:nsid w:val="45F0DE54"/>
    <w:multiLevelType w:val="singleLevel"/>
    <w:tmpl w:val="45F0DE54"/>
    <w:lvl w:ilvl="0">
      <w:start w:val="1"/>
      <w:numFmt w:val="decimal"/>
      <w:lvlText w:val="%1."/>
      <w:lvlJc w:val="left"/>
      <w:pPr>
        <w:ind w:left="425" w:hanging="425"/>
      </w:pPr>
      <w:rPr>
        <w:rFonts w:hint="default"/>
      </w:rPr>
    </w:lvl>
  </w:abstractNum>
  <w:abstractNum w:abstractNumId="4">
    <w:nsid w:val="4EBF98F7"/>
    <w:multiLevelType w:val="singleLevel"/>
    <w:tmpl w:val="4EBF98F7"/>
    <w:lvl w:ilvl="0">
      <w:start w:val="1"/>
      <w:numFmt w:val="decimal"/>
      <w:lvlText w:val="%1."/>
      <w:lvlJc w:val="left"/>
      <w:pPr>
        <w:ind w:left="425" w:hanging="425"/>
      </w:pPr>
      <w:rPr>
        <w:rFonts w:hint="default"/>
      </w:rPr>
    </w:lvl>
  </w:abstractNum>
  <w:abstractNum w:abstractNumId="5">
    <w:nsid w:val="5318430A"/>
    <w:multiLevelType w:val="singleLevel"/>
    <w:tmpl w:val="5318430A"/>
    <w:lvl w:ilvl="0">
      <w:start w:val="1"/>
      <w:numFmt w:val="decimal"/>
      <w:lvlText w:val="%1."/>
      <w:lvlJc w:val="left"/>
      <w:pPr>
        <w:ind w:left="425" w:hanging="425"/>
      </w:pPr>
      <w:rPr>
        <w:rFonts w:hint="default"/>
      </w:rPr>
    </w:lvl>
  </w:abstractNum>
  <w:abstractNum w:abstractNumId="6">
    <w:nsid w:val="6A03D75D"/>
    <w:multiLevelType w:val="singleLevel"/>
    <w:tmpl w:val="6A03D75D"/>
    <w:lvl w:ilvl="0">
      <w:start w:val="1"/>
      <w:numFmt w:val="decimal"/>
      <w:lvlText w:val="%1."/>
      <w:lvlJc w:val="left"/>
      <w:pPr>
        <w:ind w:left="425" w:hanging="425"/>
      </w:pPr>
      <w:rPr>
        <w:rFonts w:hint="default"/>
      </w:rPr>
    </w:lvl>
  </w:abstractNum>
  <w:abstractNum w:abstractNumId="7">
    <w:nsid w:val="6A8CBA45"/>
    <w:multiLevelType w:val="singleLevel"/>
    <w:tmpl w:val="6A8CBA45"/>
    <w:lvl w:ilvl="0">
      <w:start w:val="1"/>
      <w:numFmt w:val="decimal"/>
      <w:lvlText w:val="%1."/>
      <w:lvlJc w:val="left"/>
      <w:pPr>
        <w:ind w:left="425" w:hanging="425"/>
      </w:pPr>
      <w:rPr>
        <w:rFonts w:hint="default"/>
      </w:rPr>
    </w:lvl>
  </w:abstractNum>
  <w:num w:numId="1">
    <w:abstractNumId w:val="0"/>
  </w:num>
  <w:num w:numId="2">
    <w:abstractNumId w:val="5"/>
  </w:num>
  <w:num w:numId="3">
    <w:abstractNumId w:val="7"/>
  </w:num>
  <w:num w:numId="4">
    <w:abstractNumId w:val="1"/>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9</Pages>
  <Words>2072</Words>
  <Characters>2215</Characters>
  <Application>Microsoft Office Word</Application>
  <DocSecurity>0</DocSecurity>
  <Lines>0</Lines>
  <Paragraphs>0</Paragraphs>
  <ScaleCrop>false</ScaleCrop>
  <Company/>
  <LinksUpToDate>false</LinksUpToDate>
  <CharactersWithSpaces>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2026-02-15T15:43:47Z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66DD9BC3FF9F448EA164DF0346F3DFB7_13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