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天津市华夏电缆有限公司</w:t>
      </w:r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0" w:afterLine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曲靖供电局110kV变电站电力监控系统网络安全态势感知项目-应急演练计划（HXDL-ITSS-1004）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2025.08.07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2025.08.07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批准人: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审批时间:</w:t>
            </w:r>
            <w:r>
              <w:rPr>
                <w:rFonts w:hint="eastAsia"/>
                <w:u w:val="single"/>
                <w:lang w:val="en-US" w:eastAsia="zh-CN"/>
              </w:rPr>
              <w:t>2025.08.07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文件编制和变更履历</w:t>
      </w:r>
    </w:p>
    <w:tbl>
      <w:tblPr>
        <w:tblStyle w:val="TableNormal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  <w: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发布</w:t>
            </w:r>
          </w:p>
        </w:tc>
        <w:tc>
          <w:tcPr>
            <w:tcW w:w="2288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实施</w:t>
            </w:r>
          </w:p>
        </w:tc>
        <w:tc>
          <w:tcPr>
            <w:tcW w:w="1383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  <w: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881" w:type="dxa"/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  <w: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  <w: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  <w: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  <w: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  <w:r>
              <w:t>批准</w:t>
            </w:r>
          </w:p>
        </w:tc>
        <w:tc>
          <w:tcPr>
            <w:tcW w:w="1271" w:type="dxa"/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  <w:r>
              <w:t>日期</w:t>
            </w:r>
          </w:p>
        </w:tc>
        <w:tc>
          <w:tcPr>
            <w:tcW w:w="1383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V1.0</w:t>
            </w:r>
          </w:p>
        </w:tc>
        <w:tc>
          <w:tcPr>
            <w:tcW w:w="88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赵川华</w:t>
            </w:r>
          </w:p>
        </w:tc>
        <w:tc>
          <w:tcPr>
            <w:tcW w:w="1274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eastAsia="宋体" w:hint="eastAsia"/>
                <w:lang w:val="en-US" w:eastAsia="zh-CN"/>
              </w:rPr>
            </w:pPr>
            <w:r>
              <w:t>2025.</w:t>
            </w:r>
            <w:r>
              <w:rPr>
                <w:rFonts w:hint="eastAsia"/>
                <w:lang w:val="en-US" w:eastAsia="zh-CN"/>
              </w:rPr>
              <w:t>8</w:t>
            </w:r>
            <w:r>
              <w:t>.</w:t>
            </w: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957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张智宏</w:t>
            </w:r>
          </w:p>
        </w:tc>
        <w:tc>
          <w:tcPr>
            <w:tcW w:w="1377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eastAsia="宋体" w:hint="eastAsia"/>
                <w:lang w:val="en-US" w:eastAsia="zh-CN"/>
              </w:rPr>
            </w:pPr>
            <w:r>
              <w:t>2025.</w:t>
            </w:r>
            <w:r>
              <w:rPr>
                <w:rFonts w:hint="eastAsia"/>
                <w:lang w:val="en-US" w:eastAsia="zh-CN"/>
              </w:rPr>
              <w:t>8</w:t>
            </w:r>
            <w:r>
              <w:t>.</w:t>
            </w: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1017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陈垒</w:t>
            </w:r>
          </w:p>
        </w:tc>
        <w:tc>
          <w:tcPr>
            <w:tcW w:w="127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eastAsia="宋体" w:hint="eastAsia"/>
                <w:lang w:val="en-US" w:eastAsia="zh-CN"/>
              </w:rPr>
            </w:pPr>
            <w:r>
              <w:t>2025.</w:t>
            </w:r>
            <w:r>
              <w:rPr>
                <w:rFonts w:hint="eastAsia"/>
                <w:lang w:val="en-US" w:eastAsia="zh-CN"/>
              </w:rPr>
              <w:t>8</w:t>
            </w:r>
            <w:r>
              <w:t>.</w:t>
            </w: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88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4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57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77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017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1" w:type="dxa"/>
            <w:tcBorders>
              <w:bottom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83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演练目的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检验《合同执行专项应急预案》及《应急实施方案》的完整性、合理性与可操作性。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锻炼并提升甲乙双方项目团队在合同执行期间的应急协作、信息沟通与快速决策能力。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验证应急联络机制的有效性，熟悉三级响应流程，特别是合同</w:t>
      </w:r>
      <w:r>
        <w:rPr>
          <w:rFonts w:hint="eastAsia"/>
          <w:lang w:val="en-US" w:eastAsia="zh-CN"/>
        </w:rPr>
        <w:t>约定的“”</w:t>
      </w:r>
      <w:r>
        <w:rPr>
          <w:rFonts w:hint="default"/>
          <w:lang w:val="en-US" w:eastAsia="zh-CN"/>
        </w:rPr>
        <w:t>改正通知与费用暂停</w:t>
      </w:r>
      <w:r>
        <w:rPr>
          <w:rFonts w:hint="eastAsia"/>
          <w:lang w:val="en-US" w:eastAsia="zh-CN"/>
        </w:rPr>
        <w:t>”</w:t>
      </w:r>
      <w:r>
        <w:rPr>
          <w:rFonts w:hint="default"/>
          <w:lang w:val="en-US" w:eastAsia="zh-CN"/>
        </w:rPr>
        <w:t>的实际应用。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识别现有应急流程中的薄弱环节，为预案和方案的修订提供实践依据。</w:t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演练目标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流程目标：确保在演练触发后30分钟内，双方应急总代表完成对接并启动相应级别的响应流程。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沟通目标：模拟完成一次完整的“事件上报-分析决策-指令下达-处置反馈”闭环，文书传递准确率100%。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处置目标：针对模拟场景，乙方能按规定时限（如三级响应的3天内）提交符合要求的《纠正措施计划》。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评估目标：演练结束后，双方能共同完成一份包含至少3项实质性改进建议的《演练评估报告》。</w:t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演练场景设计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场景主题： “二级响应”模拟——乙方现场测试操作不当引发网络安全告警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模拟事件： 乙方技术人员在未充分沟通的情况下，于某110kV变电站进行模拟攻击测试，触发调度主站网络安全监测平台产生“异常高频扫描”高级别告警，甲方驻场人员被供电局质询，项目面临暂停风险。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核心矛盾： 事件暴露乙方操作流程不规范、甲方监督不到位，需立即启动应急程序控制事态、厘清责任、恢复信任。</w:t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演练时间、地点与参与人员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时间： 2025年9月10日（星期三），上午 9:00 - 11:30（总时长2.5小时）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（备选日期：2025年9月3日或9月17日。建议选择项目阶段性工作完成后的相对平缓期进行。）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地点： 甲方（云南中恒）项目部会议室（主演练场）、乙方（云南腾电）现场办公室（分演练场）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参与人员及角色：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甲方（云南中恒）： 项目总代表（应急组长）</w:t>
      </w:r>
      <w:r>
        <w:rPr>
          <w:rFonts w:hint="eastAsia"/>
          <w:lang w:val="en-US" w:eastAsia="zh-CN"/>
        </w:rPr>
        <w:t>刘成峰</w:t>
      </w:r>
      <w:r>
        <w:rPr>
          <w:rFonts w:hint="default"/>
          <w:lang w:val="en-US" w:eastAsia="zh-CN"/>
        </w:rPr>
        <w:t>、技术负责人王伟、现场监理张明（参演）。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乙方（云南腾电）： 现场负责人</w:t>
      </w:r>
      <w:r>
        <w:t>赵川华</w:t>
      </w:r>
      <w:bookmarkStart w:id="0" w:name="_GoBack"/>
      <w:bookmarkEnd w:id="0"/>
      <w:r>
        <w:rPr>
          <w:rFonts w:hint="default"/>
          <w:lang w:val="en-US" w:eastAsia="zh-CN"/>
        </w:rPr>
        <w:t>、</w:t>
      </w: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工程师陈浩（参演）。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控制与评估： 甲方项目经理刘涛（控制），双方各指定记录员一名。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评估记录（双方各指派1人）： 负责全程记录关键时间点、决策内容和沟通质量，为评估提供依据。</w:t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演练阶段与日程安排（2025年9月10日）</w:t>
      </w:r>
    </w:p>
    <w:tbl>
      <w:tblPr>
        <w:tblStyle w:val="TableNormal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56"/>
        <w:gridCol w:w="1273"/>
        <w:gridCol w:w="4043"/>
        <w:gridCol w:w="791"/>
        <w:gridCol w:w="1525"/>
      </w:tblGrid>
      <w:tr>
        <w:tblPrEx>
          <w:tblW w:w="0" w:type="auto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75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127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404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主要活动</w:t>
            </w:r>
          </w:p>
        </w:tc>
        <w:tc>
          <w:tcPr>
            <w:tcW w:w="7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负责方</w:t>
            </w:r>
          </w:p>
        </w:tc>
        <w:tc>
          <w:tcPr>
            <w:tcW w:w="1525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产出/目标</w:t>
            </w:r>
          </w:p>
        </w:tc>
      </w:tr>
      <w:tr>
        <w:tblPrEx>
          <w:tblW w:w="0" w:type="auto"/>
          <w:jc w:val="center"/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75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准备与启动</w:t>
            </w:r>
          </w:p>
        </w:tc>
        <w:tc>
          <w:tcPr>
            <w:tcW w:w="127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9:00-9:15</w:t>
            </w:r>
          </w:p>
        </w:tc>
        <w:tc>
          <w:tcPr>
            <w:tcW w:w="404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全体参与人员集合，明确演练规则（“是演练不是演戏”，保密要求）。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控制组介绍演练场景与初始条件。</w:t>
            </w:r>
          </w:p>
        </w:tc>
        <w:tc>
          <w:tcPr>
            <w:tcW w:w="7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双方</w:t>
            </w:r>
          </w:p>
        </w:tc>
        <w:tc>
          <w:tcPr>
            <w:tcW w:w="1525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所有人员进入状态，理解背景。</w:t>
            </w:r>
          </w:p>
        </w:tc>
      </w:tr>
      <w:tr>
        <w:tblPrEx>
          <w:tblW w:w="0" w:type="auto"/>
          <w:jc w:val="center"/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75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事件发生与报告</w:t>
            </w:r>
          </w:p>
        </w:tc>
        <w:tc>
          <w:tcPr>
            <w:tcW w:w="127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9:15-9:30</w:t>
            </w:r>
          </w:p>
        </w:tc>
        <w:tc>
          <w:tcPr>
            <w:tcW w:w="404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控制组向甲方“参演组”发布第一条信息：“接到供电局电话，质询某站异常扫描告警”。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甲方参演组按照《实施方案》2.2条，在15分钟内向甲方“指挥组”及乙方现场负责人报告。</w:t>
            </w:r>
          </w:p>
        </w:tc>
        <w:tc>
          <w:tcPr>
            <w:tcW w:w="7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</w:t>
            </w:r>
          </w:p>
        </w:tc>
        <w:tc>
          <w:tcPr>
            <w:tcW w:w="1525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触发应急流程，检验初始报告时效。</w:t>
            </w:r>
          </w:p>
        </w:tc>
      </w:tr>
      <w:tr>
        <w:tblPrEx>
          <w:tblW w:w="0" w:type="auto"/>
          <w:jc w:val="center"/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75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初步评估与响应升级</w:t>
            </w:r>
          </w:p>
        </w:tc>
        <w:tc>
          <w:tcPr>
            <w:tcW w:w="127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9:30-10:00</w:t>
            </w:r>
          </w:p>
        </w:tc>
        <w:tc>
          <w:tcPr>
            <w:tcW w:w="404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双方应急总代表紧急通话/会议，核实情况。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2. 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决策点：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 根据事件性质（造成外部质询、潜在安全风险），一致决定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启动二级响应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甲方总代表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正式签发书面通知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，宣布暂停付款并限期要求乙方报告（依据合同7.2条及方案3.2条）。</w:t>
            </w:r>
          </w:p>
        </w:tc>
        <w:tc>
          <w:tcPr>
            <w:tcW w:w="7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双方</w:t>
            </w:r>
          </w:p>
        </w:tc>
        <w:tc>
          <w:tcPr>
            <w:tcW w:w="1525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做出二级响应决策，并执行合同关键条款。</w:t>
            </w:r>
          </w:p>
        </w:tc>
      </w:tr>
      <w:tr>
        <w:tblPrEx>
          <w:tblW w:w="0" w:type="auto"/>
          <w:jc w:val="center"/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75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乙方处置与报告</w:t>
            </w:r>
          </w:p>
        </w:tc>
        <w:tc>
          <w:tcPr>
            <w:tcW w:w="127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10:00-10:30</w:t>
            </w:r>
          </w:p>
        </w:tc>
        <w:tc>
          <w:tcPr>
            <w:tcW w:w="404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乙方内部调查，分析“违规操作”原因。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乙方在规定时限（模拟压缩为30分钟）内，向甲方提交《事件原因分析报告》及《纠正与预防措施计划》草案。</w:t>
            </w:r>
          </w:p>
        </w:tc>
        <w:tc>
          <w:tcPr>
            <w:tcW w:w="7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乙方</w:t>
            </w:r>
          </w:p>
        </w:tc>
        <w:tc>
          <w:tcPr>
            <w:tcW w:w="1525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检验乙方的问题分析与整改规划能力。</w:t>
            </w:r>
          </w:p>
        </w:tc>
      </w:tr>
      <w:tr>
        <w:tblPrEx>
          <w:tblW w:w="0" w:type="auto"/>
          <w:jc w:val="center"/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75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甲方评估与决策</w:t>
            </w:r>
          </w:p>
        </w:tc>
        <w:tc>
          <w:tcPr>
            <w:tcW w:w="127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10:30-10:50</w:t>
            </w:r>
          </w:p>
        </w:tc>
        <w:tc>
          <w:tcPr>
            <w:tcW w:w="404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甲方指挥组审查乙方提交的文件。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2. 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决策点：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 评估措施是否可接受？是否同意恢复工作？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模拟双方签署《情况说明及复工确认书》。</w:t>
            </w:r>
          </w:p>
        </w:tc>
        <w:tc>
          <w:tcPr>
            <w:tcW w:w="7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</w:t>
            </w:r>
          </w:p>
        </w:tc>
        <w:tc>
          <w:tcPr>
            <w:tcW w:w="1525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检验甲方的评估与决策流程。</w:t>
            </w:r>
          </w:p>
        </w:tc>
      </w:tr>
      <w:tr>
        <w:tblPrEx>
          <w:tblW w:w="0" w:type="auto"/>
          <w:jc w:val="center"/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756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演练总结与评估</w:t>
            </w:r>
          </w:p>
        </w:tc>
        <w:tc>
          <w:tcPr>
            <w:tcW w:w="127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10:50-11:30</w:t>
            </w:r>
          </w:p>
        </w:tc>
        <w:tc>
          <w:tcPr>
            <w:tcW w:w="404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全体参与人员复盘，自由发言。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评估记录组汇报观察结果。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双方共同讨论存在的问题与改进项。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明确《演练评估报告》编写分工与完成时限。</w:t>
            </w:r>
          </w:p>
        </w:tc>
        <w:tc>
          <w:tcPr>
            <w:tcW w:w="7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全体人员</w:t>
            </w:r>
          </w:p>
        </w:tc>
        <w:tc>
          <w:tcPr>
            <w:tcW w:w="1525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形成改进清单，明确报告撰写责任。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准备工作清单（2025年8月-9月）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2025年8月25日前： 最终确定本计划，并发给所有参与人员预读。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2025年9月8日前： 准备并打印演练所需文书模板（《通知单》、《纠正措施计划》、《确认书》空白件）。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2025年9月9日前： 召开演练预备会，确认角色、通讯方式及后勤安排；检查演练场地、通讯设备（电话、会议系统）确保可用。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2025年9月10日当天： 设立演练专用区域，确保环境不受干扰。</w:t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演练评估与总结要求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演练结束后3个工作日内（即2025年9月15日前），由双方评估记录组共同起草完成《应急演练评估报告》，内容需包括：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演练概述（时间、地点、场景、人员）。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各项目标达成情况评估。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亮点与存在问题（重点分析流程、沟通、决策环节的实效性）。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具体改进建议（至少针对预案、方案、合同管理或日常沟通提出3项可落实的改进项）。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结论与后续行动计划（如修订文件、组织培训等，并明确完成时限）。</w:t>
      </w:r>
    </w:p>
    <w:p>
      <w:pPr>
        <w:pStyle w:val="a1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 w:qFormat="1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 w:qFormat="1"/>
    <w:lsdException w:name="annotation reference" w:semiHidden="0" w:uiPriority="0" w:unhideWhenUsed="0" w:qFormat="1"/>
    <w:lsdException w:name="line number" w:semiHidden="0" w:uiPriority="0" w:unhideWhenUsed="0"/>
    <w:lsdException w:name="page number" w:semiHidden="0" w:uiPriority="0" w:unhideWhenUsed="0" w:qFormat="1"/>
    <w:lsdException w:name="endnote reference" w:semiHidden="0" w:uiPriority="0" w:unhideWhenUsed="0" w:qFormat="1"/>
    <w:lsdException w:name="endnote text" w:semiHidden="0" w:uiPriority="0" w:unhideWhenUsed="0" w:qFormat="1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 w:qFormat="1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 w:qFormat="1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 w:qFormat="1"/>
    <w:lsdException w:name="FollowedHyperlink" w:semiHidden="0" w:uiPriority="0" w:unhideWhenUsed="0" w:qFormat="1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 w:qFormat="1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 w:qFormat="1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semiHidden/>
    <w:unhideWhenUsed/>
    <w:qFormat/>
    <w:rPr>
      <w:rFonts w:ascii="Arial" w:eastAsia="黑体" w:hAnsi="Arial"/>
      <w:sz w:val="20"/>
    </w:rPr>
  </w:style>
  <w:style w:type="paragraph" w:styleId="CommentText">
    <w:name w:val="annotation text"/>
    <w:basedOn w:val="Normal"/>
    <w:qFormat/>
    <w:pPr>
      <w:jc w:val="left"/>
    </w:pPr>
  </w:style>
  <w:style w:type="paragraph" w:styleId="Salutation">
    <w:name w:val="Salutation"/>
    <w:basedOn w:val="Normal"/>
    <w:next w:val="Normal"/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Date">
    <w:name w:val="Date"/>
    <w:basedOn w:val="Normal"/>
    <w:next w:val="Normal"/>
    <w:qFormat/>
    <w:pPr>
      <w:ind w:left="100" w:leftChars="2500"/>
    </w:pPr>
  </w:style>
  <w:style w:type="paragraph" w:styleId="EndnoteText">
    <w:name w:val="endnote text"/>
    <w:basedOn w:val="Normal"/>
    <w:qFormat/>
    <w:pPr>
      <w:snapToGrid w:val="0"/>
      <w:jc w:val="left"/>
    </w:pPr>
  </w:style>
  <w:style w:type="paragraph" w:styleId="BalloonText">
    <w:name w:val="Balloon Text"/>
    <w:basedOn w:val="Normal"/>
    <w:qFormat/>
    <w:rPr>
      <w:sz w:val="18"/>
    </w:r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Signature">
    <w:name w:val="Signature"/>
    <w:basedOn w:val="Normal"/>
    <w:qFormat/>
    <w:pPr>
      <w:ind w:left="100" w:leftChars="2100"/>
    </w:p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Subtitle">
    <w:name w:val="Subtitle"/>
    <w:basedOn w:val="Normal"/>
    <w:qFormat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="Arial" w:hAnsi="Arial"/>
      <w:b/>
      <w:kern w:val="28"/>
      <w:sz w:val="32"/>
    </w:rPr>
  </w:style>
  <w:style w:type="paragraph" w:styleId="FootnoteText">
    <w:name w:val="footnote text"/>
    <w:basedOn w:val="Normal"/>
    <w:qFormat/>
    <w:pPr>
      <w:snapToGrid w:val="0"/>
      <w:jc w:val="left"/>
    </w:pPr>
    <w:rPr>
      <w:sz w:val="18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paragraph" w:styleId="CommentSubject">
    <w:name w:val="annotation subject"/>
    <w:basedOn w:val="CommentText"/>
    <w:next w:val="CommentText"/>
    <w:qFormat/>
    <w:rPr>
      <w:b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character" w:styleId="EndnoteReference">
    <w:name w:val="endnote reference"/>
    <w:basedOn w:val="DefaultParagraphFont"/>
    <w:qFormat/>
    <w:rPr>
      <w:vertAlign w:val="superscript"/>
    </w:rPr>
  </w:style>
  <w:style w:type="character" w:styleId="PageNumber">
    <w:name w:val="page number"/>
    <w:basedOn w:val="DefaultParagraphFont"/>
    <w:qFormat/>
  </w:style>
  <w:style w:type="character" w:styleId="FollowedHyperlink">
    <w:name w:val="FollowedHyperlink"/>
    <w:basedOn w:val="DefaultParagraphFont"/>
    <w:qFormat/>
    <w:rPr>
      <w:color w:val="800080"/>
      <w:u w:val="single"/>
    </w:rPr>
  </w:style>
  <w:style w:type="character" w:styleId="Emphasis">
    <w:name w:val="Emphasis"/>
    <w:basedOn w:val="DefaultParagraphFont"/>
    <w:qFormat/>
    <w:rPr>
      <w:i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CommentReference">
    <w:name w:val="annotation reference"/>
    <w:basedOn w:val="DefaultParagraphFont"/>
    <w:qFormat/>
    <w:rPr>
      <w:sz w:val="21"/>
    </w:rPr>
  </w:style>
  <w:style w:type="character" w:styleId="FootnoteReference">
    <w:name w:val="footnote reference"/>
    <w:basedOn w:val="DefaultParagraphFont"/>
    <w:qFormat/>
    <w:rPr>
      <w:vertAlign w:val="superscript"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1909</Words>
  <Characters>2111</Characters>
  <Application>Microsoft Office Word</Application>
  <DocSecurity>0</DocSecurity>
  <Lines>0</Lines>
  <Paragraphs>0</Paragraphs>
  <ScaleCrop>false</ScaleCrop>
  <Company/>
  <LinksUpToDate>false</LinksUpToDate>
  <CharactersWithSpaces>2145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2025-09-06T12:49:00Z</dcterms:created>
  <dcterms:modified xsi:type="dcterms:W3CDTF">2025-12-14T11:30:41Z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