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5978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8678"/>
      <w:r>
        <w:rPr>
          <w:rFonts w:hint="eastAsia"/>
          <w:lang w:val="en-US" w:eastAsia="zh-CN"/>
        </w:rPr>
        <w:t>曲靖供电局110kV变电站电力监控系统网络安全态势感知项目-应急演练报告（HXDL-ITSS-1005）</w:t>
      </w:r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9530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_Toc25978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_Toc25978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曲靖供电局110kV变电站电力监控系统网络安全态势感知项目-应急演练报告（HXDL-ITSS-1005）</w:t>
          </w:r>
          <w:r>
            <w:tab/>
          </w:r>
          <w:r>
            <w:fldChar w:fldCharType="begin"/>
          </w:r>
          <w:r>
            <w:instrText xml:space="preserve"> PAGEREF _Toc8678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演练目标达成情况评估</w:t>
          </w:r>
          <w:r>
            <w:tab/>
          </w:r>
          <w:r>
            <w:fldChar w:fldCharType="begin"/>
          </w:r>
          <w:r>
            <w:instrText xml:space="preserve"> PAGEREF _Toc14228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演练过程关键记录</w:t>
          </w:r>
          <w:r>
            <w:tab/>
          </w:r>
          <w:r>
            <w:fldChar w:fldCharType="begin"/>
          </w:r>
          <w:r>
            <w:instrText xml:space="preserve"> PAGEREF _Toc26600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存在问题与根本原因分析</w:t>
          </w:r>
          <w:r>
            <w:tab/>
          </w:r>
          <w:r>
            <w:fldChar w:fldCharType="begin"/>
          </w:r>
          <w:r>
            <w:instrText xml:space="preserve"> PAGEREF _Toc11158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改进建议</w:t>
          </w:r>
          <w:r>
            <w:tab/>
          </w:r>
          <w:r>
            <w:fldChar w:fldCharType="begin"/>
          </w:r>
          <w:r>
            <w:instrText xml:space="preserve"> PAGEREF _Toc19450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修订《应急实施方案》2.2条</w:t>
          </w:r>
          <w:r>
            <w:tab/>
          </w:r>
          <w:r>
            <w:fldChar w:fldCharType="begin"/>
          </w:r>
          <w:r>
            <w:instrText xml:space="preserve"> PAGEREF _Toc11319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加强乙方应急培训</w:t>
          </w:r>
          <w:r>
            <w:tab/>
          </w:r>
          <w:r>
            <w:fldChar w:fldCharType="begin"/>
          </w:r>
          <w:r>
            <w:instrText xml:space="preserve"> PAGEREF _Toc31799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升级《应急预案》附录</w:t>
          </w:r>
          <w:r>
            <w:tab/>
          </w:r>
          <w:r>
            <w:fldChar w:fldCharType="begin"/>
          </w:r>
          <w:r>
            <w:instrText xml:space="preserve"> PAGEREF _Toc23362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细化演练场景库</w:t>
          </w:r>
          <w:r>
            <w:tab/>
          </w:r>
          <w:r>
            <w:fldChar w:fldCharType="begin"/>
          </w:r>
          <w:r>
            <w:instrText xml:space="preserve"> PAGEREF _Toc11627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建立演练文档标准化包</w:t>
          </w:r>
          <w:r>
            <w:tab/>
          </w:r>
          <w:r>
            <w:fldChar w:fldCharType="begin"/>
          </w:r>
          <w:r>
            <w:instrText xml:space="preserve"> PAGEREF _Toc5058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结论与后续行动计划</w:t>
          </w:r>
          <w:r>
            <w:tab/>
          </w:r>
          <w:r>
            <w:fldChar w:fldCharType="begin"/>
          </w:r>
          <w:r>
            <w:instrText xml:space="preserve"> PAGEREF _Toc2623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2" w:name="_GoBack"/>
      <w:bookmarkEnd w:id="2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6590"/>
      <w:r>
        <w:rPr>
          <w:rFonts w:hint="default"/>
          <w:lang w:val="en-US" w:eastAsia="zh-CN"/>
        </w:rPr>
        <w:t>演练概述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上午 9:00 - 11:30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云南中恒电力通信技术有限公司项目部会议室（主会场）、天津市华夏电缆有限公司现场办公室（分会场）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演练场景： 模拟乙方（云南腾电）技术人员在变电站进行未经充分授权的模拟攻击测试，触发调度主站高级别网络安全告警，导致甲方（云南中恒）被上级单位（曲靖供电局）质询，项目面临中断风险的突发事件。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演练目的：检验《应急预案》及《实施方案》的有效性，磨合双方应急协作机制，重点测试合同</w:t>
      </w:r>
      <w:r>
        <w:rPr>
          <w:rFonts w:hint="eastAsia"/>
          <w:lang w:val="en-US" w:eastAsia="zh-CN"/>
        </w:rPr>
        <w:t>约定的“</w:t>
      </w:r>
      <w:r>
        <w:rPr>
          <w:rFonts w:hint="default"/>
          <w:lang w:val="en-US" w:eastAsia="zh-CN"/>
        </w:rPr>
        <w:t>改正与费用暂停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的执行流程。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参与单位与人员：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4228"/>
      <w:r>
        <w:rPr>
          <w:rFonts w:hint="default"/>
          <w:lang w:val="en-US" w:eastAsia="zh-CN"/>
        </w:rPr>
        <w:t>演练目标达成情况评估</w:t>
      </w:r>
      <w:bookmarkEnd w:id="4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474"/>
        <w:gridCol w:w="801"/>
        <w:gridCol w:w="476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预设目标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达成情况说明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30分钟内启动响应。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从事件模拟发生（9:15）到双方总代表确认启动二级响应（9:40），用时25分钟，符合要求。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完成完整信息闭环，文书准确。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信息上报与指令下达通畅。但在模拟文书中，乙方提交的《原因分析报告》初版对责任描述模糊，经甲方指出后修正。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处置目标：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乙方在规定时限内提交合格纠正计划。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乙方在模拟时限（30分钟）内提交了计划，内容基本涵盖了人员再培训、流程复核等关键措施。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产出含3项以上改进建议的报告。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本次复盘共识别出5项具体改进建议（见第四、五部分）。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" w:name="_Toc26600"/>
      <w:r>
        <w:rPr>
          <w:rFonts w:hint="default"/>
          <w:lang w:val="en-US" w:eastAsia="zh-CN"/>
        </w:rPr>
        <w:t>演练过程关键记录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事件触发与初期报告（9:15-9:30）： 控制组发布告警信息。甲方现场监理张明立即通过电话和即时通讯工具，同时向甲方李峰和乙方赵强报告，行动迅速，符合“双线报告”要求。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应急启动与决策（9:30-10:00）： 双方总代表召开紧急电话会议。决策过程顺利，甲方李峰根据《实施方案》3.2条，果断决定启动二级响应，并现场签署了《费用暂停支付与限期整改通知单》。亮点： 甲方熟练引用了合同具体条款作为决策依据。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乙方处置与报告（10:00-10:30）： 乙方赵强组织内部简短复盘，但在编制《事件原因分析报告》时，首次提交版本倾向于将原因归咎于“沟通误会”，而非“操作流程违规”。在甲方质询下，第二版才正视核心违规事实。暴露问题： 乙方在初步响应时存在避重就轻倾向。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甲方评估与闭环（10:30-10:50）： 甲方组对乙方提交的《纠正措施计划》进行了务实评估，要求其加入“所有现场测试操作前必须签署《安全操作确认单》并经甲方许可”的刚性条款。双方模拟签署了复工确认文件。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复盘总结（10:50-11:30）： 所有参与人员进行了坦诚、深入的讨论，氛围良好，聚焦于流程改进而非个人问责。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1158"/>
      <w:r>
        <w:rPr>
          <w:rFonts w:hint="default"/>
          <w:lang w:val="en-US" w:eastAsia="zh-CN"/>
        </w:rPr>
        <w:t>存在问题与根本原因分析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信息记录规范性不足： 初期应急通话未进行关键信息（如时间、决定、指令）的同步文字记录，存在事后争议风险。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方案中未明确要求应急通讯必须“留有痕迹”。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乙方初次报告质量不高： 根本原因分析不深入，触及责任时模糊化。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乙方对“二级响应”的严肃性及可能引发的合同后果（如长期暂停付款）认识不足，内部危机处理培训缺失。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预案与合同条款衔接点需强化： 演练中，甲方虽引用了合同，但未明确告知乙方，若其整改最终未获认可，将可能触发合同第10条（仲裁）的路径。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预案中对不同响应级别可能导向的法律后果指引不够清晰。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9450"/>
      <w:r>
        <w:rPr>
          <w:rFonts w:hint="default"/>
          <w:lang w:val="en-US" w:eastAsia="zh-CN"/>
        </w:rPr>
        <w:t>改进建议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1319"/>
      <w:r>
        <w:rPr>
          <w:rFonts w:hint="default"/>
          <w:lang w:val="en-US" w:eastAsia="zh-CN"/>
        </w:rPr>
        <w:t>修订《应急实施方案》2.2条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增加“所有应急指令、关键决策及状态报告，在口头沟通后10分钟内，必须通过邮件或协同办公平台进行文字确认与归档”的规定。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1799"/>
      <w:r>
        <w:rPr>
          <w:rFonts w:hint="default"/>
          <w:lang w:val="en-US" w:eastAsia="zh-CN"/>
        </w:rPr>
        <w:t>加强乙方应急培训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建议乙方在项目组内开展一次以“合同违约责任与应急响应”为主题的专项培训，由甲方提供合同关键条款解读。此要求可作为项目后续合作的前提条件之一。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3362"/>
      <w:r>
        <w:rPr>
          <w:rFonts w:hint="default"/>
          <w:lang w:val="en-US" w:eastAsia="zh-CN"/>
        </w:rPr>
        <w:t>升级《应急预案》附录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增加“应急响应-合同条款联动指引表”，明确列出：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三级响应 -&gt; 主要联动合同第7.2条。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二级响应 -&gt; 联动第7.2条（暂停付款）及第5.3条（人员调遣）。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一级响应 -&gt; 明确可能导向合同第6条（保密追责）、第10条（仲裁）及合同终止。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1627"/>
      <w:r>
        <w:rPr>
          <w:rFonts w:hint="default"/>
          <w:lang w:val="en-US" w:eastAsia="zh-CN"/>
        </w:rPr>
        <w:t>细化演练场景库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针对“一级响应”场景（如数据泄露、不可抗力），编制简化的桌面推演脚本，供管理层定期研讨。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5058"/>
      <w:r>
        <w:rPr>
          <w:rFonts w:hint="default"/>
          <w:lang w:val="en-US" w:eastAsia="zh-CN"/>
        </w:rPr>
        <w:t>建立演练文档标准化包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将本次演练所有模板（通知单、报告、确认书）固化，形成项目应急文档标准包，便于未来复用。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623"/>
      <w:r>
        <w:rPr>
          <w:rFonts w:hint="default"/>
          <w:lang w:val="en-US" w:eastAsia="zh-CN"/>
        </w:rPr>
        <w:t>结论与后续行动计划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本次演练总体成功，有效验证了应急组织架构的响应能力及主要流程的可行性，达到了锻炼队伍、检验预案的核心目的。演练暴露出的问题具有典型性，所提出的改进建议具体、可操作。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2944"/>
        <w:gridCol w:w="1770"/>
        <w:gridCol w:w="1529"/>
        <w:gridCol w:w="17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验收标准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修订《应急实施方案》中通讯记录条款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2025年9月25日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双方会签新版方案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乙方组织内部合同与应急专题培训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2025年10月15日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提供培训记录与照片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编制“应急-合同联动指引表”并入预案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甲方起草，乙方确认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2025年9月30日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作为预案附件发布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归档本次演练所有文档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2025年9月20日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建立专项文件夹并存档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5D0C682"/>
    <w:multiLevelType w:val="singleLevel"/>
    <w:tmpl w:val="65D0C6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 w:qFormat="1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 w:qFormat="1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 w:qFormat="1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semiHidden/>
    <w:unhideWhenUsed/>
    <w:qFormat/>
    <w:rPr>
      <w:rFonts w:ascii="Arial" w:eastAsia="黑体" w:hAnsi="Arial"/>
      <w:sz w:val="20"/>
    </w:rPr>
  </w:style>
  <w:style w:type="paragraph" w:styleId="CommentText">
    <w:name w:val="annotation text"/>
    <w:basedOn w:val="Normal"/>
    <w:qFormat/>
    <w:pPr>
      <w:jc w:val="left"/>
    </w:pPr>
  </w:style>
  <w:style w:type="paragraph" w:styleId="Salutation">
    <w:name w:val="Salutation"/>
    <w:basedOn w:val="Normal"/>
    <w:next w:val="Normal"/>
    <w:qFormat/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Date">
    <w:name w:val="Date"/>
    <w:basedOn w:val="Normal"/>
    <w:next w:val="Normal"/>
    <w:qFormat/>
    <w:pPr>
      <w:ind w:left="100" w:leftChars="2500"/>
    </w:p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BalloonText">
    <w:name w:val="Balloon Text"/>
    <w:basedOn w:val="Normal"/>
    <w:qFormat/>
    <w:rPr>
      <w:sz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ignature">
    <w:name w:val="Signature"/>
    <w:basedOn w:val="Normal"/>
    <w:qFormat/>
    <w:pPr>
      <w:ind w:left="100" w:leftChars="2100"/>
    </w:p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CommentSubject">
    <w:name w:val="annotation subject"/>
    <w:basedOn w:val="CommentText"/>
    <w:next w:val="CommentText"/>
    <w:qFormat/>
    <w:rPr>
      <w:b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21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578</Words>
  <Characters>668</Characters>
  <Application>Microsoft Office Word</Application>
  <DocSecurity>0</DocSecurity>
  <Lines>0</Lines>
  <Paragraphs>0</Paragraphs>
  <ScaleCrop>false</ScaleCrop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