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7964"/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15500"/>
      <w:r>
        <w:rPr>
          <w:rFonts w:hint="eastAsia"/>
          <w:lang w:val="en-US" w:eastAsia="zh-CN"/>
        </w:rPr>
        <w:t>运维服务能力管理报告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11686"/>
      <w:r>
        <w:rPr>
          <w:rFonts w:hint="eastAsia"/>
          <w:lang w:val="en-US" w:eastAsia="zh-CN"/>
        </w:rPr>
        <w:t>（HXDL-ITSS-0304）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3" w:name="_Toc8396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52"/>
        <w:gridCol w:w="1202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6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02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52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02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31</w:t>
            </w: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5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52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02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spacing w:before="0" w:beforeLines="0" w:after="0" w:afterLines="0" w:line="240" w:lineRule="auto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_Toc7964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_Toc15500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_Toc11686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（HXDL-ITSS-0304）</w:t>
          </w:r>
          <w:r>
            <w:tab/>
          </w:r>
          <w:r>
            <w:fldChar w:fldCharType="begin"/>
          </w:r>
          <w:r>
            <w:instrText xml:space="preserve"> PAGEREF _Toc11686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ascii="宋体" w:eastAsia="宋体" w:hAnsi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_Toc8396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_Toc19433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能力管理总结</w:t>
          </w:r>
          <w:r>
            <w:tab/>
          </w:r>
          <w:r>
            <w:fldChar w:fldCharType="begin"/>
          </w:r>
          <w:r>
            <w:instrText xml:space="preserve"> PAGEREF _Toc29969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人员管理管理情况总结</w:t>
          </w:r>
          <w:r>
            <w:tab/>
          </w:r>
          <w:r>
            <w:fldChar w:fldCharType="begin"/>
          </w:r>
          <w:r>
            <w:instrText xml:space="preserve"> PAGEREF _Toc4492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2.1.1. 人员</w:t>
          </w:r>
          <w:r>
            <w:rPr>
              <w:rFonts w:hint="eastAsia"/>
              <w:lang w:val="en-US" w:eastAsia="zh-CN"/>
            </w:rPr>
            <w:t>招聘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_Toc28149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2.1.2. 人员</w:t>
          </w:r>
          <w:r>
            <w:rPr>
              <w:rFonts w:hint="eastAsia"/>
              <w:lang w:val="en-US" w:eastAsia="zh-CN"/>
            </w:rPr>
            <w:t>储备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_Toc5665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2.1.3. 人员</w:t>
          </w:r>
          <w:r>
            <w:rPr>
              <w:rFonts w:hint="eastAsia"/>
              <w:lang w:val="en-US" w:eastAsia="zh-CN"/>
            </w:rPr>
            <w:t>备份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_Toc11412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2.1.4. 人员</w:t>
          </w:r>
          <w:r>
            <w:rPr>
              <w:rFonts w:hint="eastAsia"/>
              <w:lang w:val="en-US" w:eastAsia="zh-CN"/>
            </w:rPr>
            <w:t>培训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_Toc9923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2.1.5. 人员</w:t>
          </w:r>
          <w:r>
            <w:rPr>
              <w:rFonts w:hint="eastAsia"/>
              <w:lang w:val="en-US" w:eastAsia="zh-CN"/>
            </w:rPr>
            <w:t>绩效考核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2.1.6. 人员技能评价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_Toc22877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2.1.7. 岗位结构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_Toc9047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资源管理情况总结</w:t>
          </w:r>
          <w:r>
            <w:tab/>
          </w:r>
          <w:r>
            <w:fldChar w:fldCharType="begin"/>
          </w:r>
          <w:r>
            <w:instrText xml:space="preserve"> PAGEREF _Toc29523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_Toc12626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运维工具管理情况总结</w:t>
          </w:r>
          <w:r>
            <w:tab/>
          </w:r>
          <w:r>
            <w:fldChar w:fldCharType="begin"/>
          </w:r>
          <w:r>
            <w:instrText xml:space="preserve"> PAGEREF _Toc12626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服务台管理情况总结</w:t>
          </w:r>
          <w:r>
            <w:tab/>
          </w:r>
          <w:r>
            <w:fldChar w:fldCharType="begin"/>
          </w:r>
          <w:r>
            <w:instrText xml:space="preserve"> PAGEREF _Toc1648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_Toc20211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备件库管理情况总结</w:t>
          </w:r>
          <w:r>
            <w:tab/>
          </w:r>
          <w:r>
            <w:fldChar w:fldCharType="begin"/>
          </w:r>
          <w:r>
            <w:instrText xml:space="preserve"> PAGEREF _Toc20211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_Toc32323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服务知识管理情况总结</w:t>
          </w:r>
          <w:r>
            <w:tab/>
          </w:r>
          <w:r>
            <w:fldChar w:fldCharType="begin"/>
          </w:r>
          <w:r>
            <w:instrText xml:space="preserve"> PAGEREF _Toc32323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2.2.5. </w:t>
          </w:r>
          <w:r>
            <w:rPr>
              <w:rFonts w:hint="eastAsia"/>
              <w:lang w:val="en-US" w:eastAsia="zh-CN"/>
            </w:rPr>
            <w:t>最终软件库管理情况总结</w:t>
          </w:r>
          <w:r>
            <w:tab/>
          </w:r>
          <w:r>
            <w:fldChar w:fldCharType="begin"/>
          </w:r>
          <w:r>
            <w:instrText xml:space="preserve"> PAGEREF _Toc29819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2.2.6. </w:t>
          </w:r>
          <w:r>
            <w:rPr>
              <w:rFonts w:hint="eastAsia"/>
              <w:lang w:val="en-US" w:eastAsia="zh-CN"/>
            </w:rPr>
            <w:t>服务数据管理情况总结</w:t>
          </w:r>
          <w:r>
            <w:tab/>
          </w:r>
          <w:r>
            <w:fldChar w:fldCharType="begin"/>
          </w:r>
          <w:r>
            <w:instrText xml:space="preserve"> PAGEREF _Toc26954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技术管理情况总结</w:t>
          </w:r>
          <w:r>
            <w:tab/>
          </w:r>
          <w:r>
            <w:fldChar w:fldCharType="begin"/>
          </w:r>
          <w:r>
            <w:instrText xml:space="preserve"> PAGEREF _Toc6310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运维工具研发情况总结</w:t>
          </w:r>
          <w:r>
            <w:tab/>
          </w:r>
          <w:r>
            <w:fldChar w:fldCharType="begin"/>
          </w:r>
          <w:r>
            <w:instrText xml:space="preserve"> PAGEREF _Toc25764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运维手册研发情况总结</w:t>
          </w:r>
          <w:r>
            <w:tab/>
          </w:r>
          <w:r>
            <w:fldChar w:fldCharType="begin"/>
          </w:r>
          <w:r>
            <w:instrText xml:space="preserve"> PAGEREF _Toc10279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研发经费使用情况总结</w:t>
          </w:r>
          <w:r>
            <w:tab/>
          </w:r>
          <w:r>
            <w:fldChar w:fldCharType="begin"/>
          </w:r>
          <w:r>
            <w:instrText xml:space="preserve"> PAGEREF _Toc1565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_Toc21998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新技术使用情况总结</w:t>
          </w:r>
          <w:r>
            <w:tab/>
          </w:r>
          <w:r>
            <w:fldChar w:fldCharType="begin"/>
          </w:r>
          <w:r>
            <w:instrText xml:space="preserve"> PAGEREF _Toc21998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_Toc16337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过程管理情况总结</w:t>
          </w:r>
          <w:r>
            <w:tab/>
          </w:r>
          <w:r>
            <w:fldChar w:fldCharType="begin"/>
          </w:r>
          <w:r>
            <w:instrText xml:space="preserve"> PAGEREF _Toc16337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过程框架设计管理情况总结</w:t>
          </w:r>
          <w:r>
            <w:tab/>
          </w:r>
          <w:r>
            <w:fldChar w:fldCharType="begin"/>
          </w:r>
          <w:r>
            <w:instrText xml:space="preserve"> PAGEREF _Toc29395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服务级别管理情况总结</w:t>
          </w:r>
          <w:r>
            <w:tab/>
          </w:r>
          <w:r>
            <w:fldChar w:fldCharType="begin"/>
          </w:r>
          <w:r>
            <w:instrText xml:space="preserve"> PAGEREF _Toc20926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服务报告管理情况总结</w:t>
          </w:r>
          <w:r>
            <w:tab/>
          </w:r>
          <w:r>
            <w:fldChar w:fldCharType="begin"/>
          </w:r>
          <w:r>
            <w:instrText xml:space="preserve"> PAGEREF _Toc12119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2.4.4. </w:t>
          </w:r>
          <w:r>
            <w:rPr>
              <w:rFonts w:hint="eastAsia"/>
              <w:lang w:val="en-US" w:eastAsia="zh-CN"/>
            </w:rPr>
            <w:t>事件管理情况总结</w:t>
          </w:r>
          <w:r>
            <w:tab/>
          </w:r>
          <w:r>
            <w:fldChar w:fldCharType="begin"/>
          </w:r>
          <w:r>
            <w:instrText xml:space="preserve"> PAGEREF _Toc16628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2.4.5. </w:t>
          </w:r>
          <w:r>
            <w:rPr>
              <w:rFonts w:hint="eastAsia"/>
              <w:lang w:val="en-US" w:eastAsia="zh-CN"/>
            </w:rPr>
            <w:t>问题管理情况总结</w:t>
          </w:r>
          <w:r>
            <w:tab/>
          </w:r>
          <w:r>
            <w:fldChar w:fldCharType="begin"/>
          </w:r>
          <w:r>
            <w:instrText xml:space="preserve"> PAGEREF _Toc145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2.4.6. </w:t>
          </w:r>
          <w:r>
            <w:rPr>
              <w:rFonts w:hint="eastAsia"/>
              <w:lang w:val="en-US" w:eastAsia="zh-CN"/>
            </w:rPr>
            <w:t>变更管理情况总结</w:t>
          </w:r>
          <w:r>
            <w:tab/>
          </w:r>
          <w:r>
            <w:fldChar w:fldCharType="begin"/>
          </w:r>
          <w:r>
            <w:instrText xml:space="preserve"> PAGEREF _Toc18765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2.4.7. </w:t>
          </w:r>
          <w:r>
            <w:rPr>
              <w:rFonts w:hint="eastAsia"/>
              <w:lang w:val="en-US" w:eastAsia="zh-CN"/>
            </w:rPr>
            <w:t>发布管理情况总结</w:t>
          </w:r>
          <w:r>
            <w:tab/>
          </w:r>
          <w:r>
            <w:fldChar w:fldCharType="begin"/>
          </w:r>
          <w:r>
            <w:instrText xml:space="preserve"> PAGEREF _Toc27025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2.4.8. </w:t>
          </w:r>
          <w:r>
            <w:rPr>
              <w:rFonts w:hint="eastAsia"/>
              <w:lang w:val="en-US" w:eastAsia="zh-CN"/>
            </w:rPr>
            <w:t>配置管理情况总结</w:t>
          </w:r>
          <w:r>
            <w:tab/>
          </w:r>
          <w:r>
            <w:fldChar w:fldCharType="begin"/>
          </w:r>
          <w:r>
            <w:instrText xml:space="preserve"> PAGEREF _Toc9676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2.4.9. </w:t>
          </w:r>
          <w:r>
            <w:rPr>
              <w:rFonts w:hint="eastAsia"/>
              <w:lang w:val="en-US" w:eastAsia="zh-CN"/>
            </w:rPr>
            <w:t>服务可用性和连续性管理情况总结</w:t>
          </w:r>
          <w:r>
            <w:tab/>
          </w:r>
          <w:r>
            <w:fldChar w:fldCharType="begin"/>
          </w:r>
          <w:r>
            <w:instrText xml:space="preserve"> PAGEREF _Toc13493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2.4.10. </w:t>
          </w:r>
          <w:r>
            <w:rPr>
              <w:rFonts w:hint="eastAsia"/>
              <w:lang w:val="en-US" w:eastAsia="zh-CN"/>
            </w:rPr>
            <w:t>容量管理情况总结</w:t>
          </w:r>
          <w:r>
            <w:tab/>
          </w:r>
          <w:r>
            <w:fldChar w:fldCharType="begin"/>
          </w:r>
          <w:r>
            <w:instrText xml:space="preserve"> PAGEREF _Toc11544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2.4.11. </w:t>
          </w:r>
          <w:r>
            <w:rPr>
              <w:rFonts w:hint="eastAsia"/>
              <w:lang w:val="en-US" w:eastAsia="zh-CN"/>
            </w:rPr>
            <w:t>信息安全管理总结</w:t>
          </w:r>
          <w:r>
            <w:tab/>
          </w:r>
          <w:r>
            <w:fldChar w:fldCharType="begin"/>
          </w:r>
          <w:r>
            <w:instrText xml:space="preserve"> PAGEREF _Toc17605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交付管理情况总结</w:t>
          </w:r>
          <w:r>
            <w:tab/>
          </w:r>
          <w:r>
            <w:fldChar w:fldCharType="begin"/>
          </w:r>
          <w:r>
            <w:instrText xml:space="preserve"> PAGEREF _Toc27310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_Toc9170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应急管理情况总结</w:t>
          </w:r>
          <w:r>
            <w:tab/>
          </w:r>
          <w:r>
            <w:fldChar w:fldCharType="begin"/>
          </w:r>
          <w:r>
            <w:instrText xml:space="preserve"> PAGEREF _Toc9170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_Toc25277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质量管理情况总结</w:t>
          </w:r>
          <w:r>
            <w:tab/>
          </w:r>
          <w:r>
            <w:fldChar w:fldCharType="begin"/>
          </w:r>
          <w:r>
            <w:instrText xml:space="preserve"> PAGEREF _Toc25277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_Toc26153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2.7.1. </w:t>
          </w:r>
          <w:r>
            <w:rPr>
              <w:rFonts w:hint="eastAsia"/>
              <w:lang w:val="en-US" w:eastAsia="zh-CN"/>
            </w:rPr>
            <w:t>运维服务质量内部审核情况总结</w:t>
          </w:r>
          <w:r>
            <w:tab/>
          </w:r>
          <w:r>
            <w:fldChar w:fldCharType="begin"/>
          </w:r>
          <w:r>
            <w:instrText xml:space="preserve"> PAGEREF _Toc26153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2.7.2. </w:t>
          </w:r>
          <w:r>
            <w:rPr>
              <w:rFonts w:hint="eastAsia"/>
              <w:lang w:val="en-US" w:eastAsia="zh-CN"/>
            </w:rPr>
            <w:t>运维服务质量管理评审情况总结</w:t>
          </w:r>
          <w:r>
            <w:tab/>
          </w:r>
          <w:r>
            <w:fldChar w:fldCharType="begin"/>
          </w:r>
          <w:r>
            <w:instrText xml:space="preserve"> PAGEREF _Toc24010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_Toc27109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2.7.3. </w:t>
          </w:r>
          <w:r>
            <w:rPr>
              <w:rFonts w:hint="eastAsia"/>
              <w:lang w:val="en-US" w:eastAsia="zh-CN"/>
            </w:rPr>
            <w:t>客户满意度调查及分析情况总结</w:t>
          </w:r>
          <w:r>
            <w:tab/>
          </w:r>
          <w:r>
            <w:fldChar w:fldCharType="begin"/>
          </w:r>
          <w:r>
            <w:instrText xml:space="preserve"> PAGEREF _Toc27109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2.7.4. </w:t>
          </w:r>
          <w:r>
            <w:rPr>
              <w:rFonts w:hint="eastAsia"/>
              <w:lang w:val="en-US" w:eastAsia="zh-CN"/>
            </w:rPr>
            <w:t>服务能力改进情况总结</w:t>
          </w:r>
          <w:r>
            <w:tab/>
          </w:r>
          <w:r>
            <w:fldChar w:fldCharType="begin"/>
          </w:r>
          <w:r>
            <w:instrText xml:space="preserve"> PAGEREF _Toc17039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_Toc32723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3.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_Toc32723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4" w:name="_Toc19433"/>
      <w:r>
        <w:rPr>
          <w:rFonts w:hint="eastAsia"/>
          <w:lang w:val="en-US" w:eastAsia="zh-CN"/>
        </w:rPr>
        <w:t>概述</w:t>
      </w:r>
      <w:bookmarkEnd w:id="4"/>
    </w:p>
    <w:p>
      <w:pPr>
        <w:pStyle w:val="a1"/>
        <w:bidi w:val="0"/>
      </w:pPr>
      <w:r>
        <w:rPr>
          <w:rFonts w:hint="default"/>
        </w:rPr>
        <w:t>2025年，公司设定全年运维服务收入目标为510万元。</w:t>
      </w:r>
      <w:r>
        <w:rPr>
          <w:rFonts w:hint="eastAsia"/>
          <w:lang w:val="en-US" w:eastAsia="zh-CN"/>
        </w:rPr>
        <w:t>截止目前</w:t>
      </w:r>
      <w:r>
        <w:rPr>
          <w:rFonts w:hint="default"/>
        </w:rPr>
        <w:t>运维业务持续快速发展，公司始终秉持以客户满意为核心的服务导向，通过加强人才队伍建设、持续提升服务水平、加大研发支持力度，不断优化最终软件库管理，并增强各团队服务能力，为客户提供更加优质高效的运维服务支持。截至2025年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月，运维业务实现收入</w:t>
      </w:r>
      <w:r>
        <w:rPr>
          <w:rFonts w:hint="eastAsia"/>
          <w:lang w:val="en-US" w:eastAsia="zh-CN"/>
        </w:rPr>
        <w:t>400</w:t>
      </w:r>
      <w:r>
        <w:rPr>
          <w:rFonts w:hint="default"/>
        </w:rPr>
        <w:t>万元，完成全年目标的</w:t>
      </w:r>
      <w:r>
        <w:rPr>
          <w:rFonts w:hint="eastAsia"/>
          <w:lang w:val="en-US" w:eastAsia="zh-CN"/>
        </w:rPr>
        <w:t>78.43</w:t>
      </w:r>
      <w:r>
        <w:rPr>
          <w:rFonts w:hint="default"/>
        </w:rPr>
        <w:t>%，进度符合预期。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为规范运维服务流程、提升服务品质与客户满意度，公司于2025年1月正式建立符合ITSS（信息技术服务标准）要求的运维服务能力管理体系，并全面推行实施。为充分发挥ITSS体系效能，公司制定了系统的运维服务能力管理规划，在过去半年中对各项运维能力目标的达成情况持续跟踪监督，并依据ITSS标准开展了内部符合性评估。从阶段性运行结果及内部评估情况来看，公司基本达成了年初制定的运维服务能力建设目标，体系运行总体有效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29969"/>
      <w:r>
        <w:rPr>
          <w:rFonts w:hint="eastAsia"/>
          <w:lang w:val="en-US" w:eastAsia="zh-CN"/>
        </w:rPr>
        <w:t>能力管理总结</w:t>
      </w:r>
      <w:bookmarkEnd w:id="5"/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4492"/>
      <w:r>
        <w:rPr>
          <w:rFonts w:hint="eastAsia"/>
          <w:lang w:val="en-US" w:eastAsia="zh-CN"/>
        </w:rPr>
        <w:t>人员管理管理情况总结</w:t>
      </w:r>
      <w:bookmarkEnd w:id="6"/>
    </w:p>
    <w:p>
      <w:pPr>
        <w:pStyle w:val="3"/>
        <w:bidi w:val="0"/>
      </w:pPr>
      <w:bookmarkStart w:id="7" w:name="_Toc28149"/>
      <w:r>
        <w:rPr>
          <w:rFonts w:hint="default"/>
        </w:rPr>
        <w:t>人员</w:t>
      </w:r>
      <w:r>
        <w:rPr>
          <w:rFonts w:hint="eastAsia"/>
          <w:lang w:val="en-US" w:eastAsia="zh-CN"/>
        </w:rPr>
        <w:t>招聘</w:t>
      </w:r>
      <w:r>
        <w:rPr>
          <w:rFonts w:hint="eastAsia"/>
          <w:lang w:eastAsia="zh-CN"/>
        </w:rPr>
        <w:t>管理情况总结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_Toc5665"/>
      <w:r>
        <w:t>截止</w:t>
      </w:r>
      <w:r>
        <w:rPr>
          <w:rFonts w:hint="eastAsia"/>
          <w:lang w:val="en-US" w:eastAsia="zh-CN"/>
        </w:rPr>
        <w:t>2025年10</w:t>
      </w:r>
      <w:r>
        <w:t>月，累计开展线上+现场面试活动10余场，面试15余人次，克完成阶段性招聘任务：实际到岗</w:t>
      </w:r>
      <w:r>
        <w:rPr>
          <w:rFonts w:hint="eastAsia"/>
          <w:lang w:val="en-US" w:eastAsia="zh-CN"/>
        </w:rPr>
        <w:t>6</w:t>
      </w:r>
      <w:r>
        <w:t>人，支付招聘费用8000元（为全年广告投入）。具体到岗信息如下：</w:t>
      </w:r>
    </w:p>
    <w:tbl>
      <w:tblPr>
        <w:tblStyle w:val="TableNormal"/>
        <w:tblpPr w:leftFromText="180" w:rightFromText="180" w:vertAnchor="text" w:horzAnchor="page" w:tblpX="1807" w:tblpY="471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2"/>
        <w:gridCol w:w="1476"/>
        <w:gridCol w:w="1176"/>
        <w:gridCol w:w="1281"/>
        <w:gridCol w:w="1010"/>
        <w:gridCol w:w="1222"/>
        <w:gridCol w:w="85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部门</w:t>
            </w: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岗位名称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计划人数</w:t>
            </w:r>
          </w:p>
        </w:tc>
        <w:tc>
          <w:tcPr>
            <w:tcW w:w="128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hint="eastAsia"/>
                <w:lang w:val="en-US" w:eastAsia="zh-CN"/>
              </w:rPr>
            </w:pPr>
            <w:r>
              <w:rPr>
                <w:rFonts w:ascii="Arial" w:eastAsia="等线" w:hAnsi="Arial" w:cs="Arial"/>
                <w:sz w:val="22"/>
              </w:rPr>
              <w:t>预算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使用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招聘方式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计划完成时间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会议电视</w:t>
            </w:r>
            <w:r>
              <w:rPr>
                <w:rFonts w:ascii="Arial" w:eastAsia="等线" w:hAnsi="Arial" w:cs="Arial"/>
                <w:sz w:val="22"/>
              </w:rPr>
              <w:t>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281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8000元</w:t>
            </w: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</w:t>
            </w:r>
            <w:r>
              <w:rPr>
                <w:rFonts w:ascii="Arial" w:eastAsia="等线" w:hAnsi="Arial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数据库运维工程师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01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2025年10</w:t>
            </w:r>
            <w:r>
              <w:rPr>
                <w:rFonts w:ascii="Arial" w:eastAsia="等线" w:hAnsi="Arial" w:cs="Arial"/>
                <w:sz w:val="22"/>
              </w:rPr>
              <w:t>月</w:t>
            </w:r>
          </w:p>
        </w:tc>
        <w:tc>
          <w:tcPr>
            <w:tcW w:w="858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服务台专员</w:t>
            </w:r>
          </w:p>
        </w:tc>
        <w:tc>
          <w:tcPr>
            <w:tcW w:w="11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</w:t>
            </w:r>
            <w:r>
              <w:rPr>
                <w:rFonts w:ascii="Arial" w:eastAsia="等线" w:hAnsi="Arial" w:cs="Arial"/>
                <w:sz w:val="22"/>
              </w:rPr>
              <w:t>4月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/>
        </w:trPr>
        <w:tc>
          <w:tcPr>
            <w:tcW w:w="982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研发部</w:t>
            </w:r>
          </w:p>
        </w:tc>
        <w:tc>
          <w:tcPr>
            <w:tcW w:w="14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软件研发工程师</w:t>
            </w:r>
          </w:p>
        </w:tc>
        <w:tc>
          <w:tcPr>
            <w:tcW w:w="1176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外部招聘</w:t>
            </w: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2025年3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17"/>
        </w:trPr>
        <w:tc>
          <w:tcPr>
            <w:tcW w:w="982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4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176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81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010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</w:pPr>
          </w:p>
        </w:tc>
        <w:tc>
          <w:tcPr>
            <w:tcW w:w="1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2025年10</w:t>
            </w:r>
            <w:r>
              <w:rPr>
                <w:rFonts w:ascii="Arial" w:eastAsia="等线" w:hAnsi="Arial" w:cs="Arial"/>
                <w:sz w:val="22"/>
              </w:rPr>
              <w:t>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1人</w:t>
            </w:r>
          </w:p>
        </w:tc>
        <w:tc>
          <w:tcPr>
            <w:tcW w:w="8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/>
              <w:jc w:val="left"/>
              <w:textAlignment w:val="baseline"/>
              <w:rPr>
                <w:rFonts w:eastAsia="等线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</w:t>
            </w:r>
          </w:p>
        </w:tc>
      </w:tr>
    </w:tbl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招聘计划按时完成，招聘计划成功率为100%，满足考核指标要求。</w:t>
      </w:r>
    </w:p>
    <w:p>
      <w:pPr>
        <w:pStyle w:val="3"/>
        <w:bidi w:val="0"/>
      </w:pPr>
      <w:r>
        <w:rPr>
          <w:rFonts w:hint="default"/>
        </w:rPr>
        <w:t>人员</w:t>
      </w:r>
      <w:r>
        <w:rPr>
          <w:rFonts w:hint="eastAsia"/>
          <w:lang w:val="en-US" w:eastAsia="zh-CN"/>
        </w:rPr>
        <w:t>储备</w:t>
      </w:r>
      <w:r>
        <w:rPr>
          <w:rFonts w:hint="eastAsia"/>
          <w:lang w:eastAsia="zh-CN"/>
        </w:rPr>
        <w:t>管理情况总结</w:t>
      </w:r>
      <w:bookmarkEnd w:id="8"/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eastAsia="zh-CN"/>
        </w:rPr>
      </w:pPr>
      <w:bookmarkStart w:id="9" w:name="_Toc11412"/>
      <w:r>
        <w:rPr>
          <w:rFonts w:hint="eastAsia"/>
          <w:lang w:eastAsia="zh-CN"/>
        </w:rPr>
        <w:t>2025</w:t>
      </w:r>
      <w:r>
        <w:t>年全年人员储备计划14人（外部招聘6人、内部选聘8人</w:t>
      </w:r>
      <w:r>
        <w:rPr>
          <w:rFonts w:hint="eastAsia"/>
          <w:lang w:eastAsia="zh-CN"/>
        </w:rPr>
        <w:t>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6"/>
      <w:r>
        <w:rPr>
          <w:rFonts w:hint="eastAsia"/>
          <w:lang w:val="en-US" w:eastAsia="zh-CN"/>
        </w:rPr>
        <w:t>储备计划</w:t>
      </w:r>
      <w:r>
        <w:t>完成情况</w:t>
      </w:r>
      <w:bookmarkEnd w:id="10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外部储备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截止2025年10月，外部招聘储备6人全部按计划到岗，达成储备目标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内部储备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截止2025年10月，计划储备8人，实际储备7人，达成储备目标。涉及应急通信运维工程师、传输设备运维工程师、项目经理、运行监控运维工程师、erp系统运维工程师、数据库运维工程师等关键岗位。具体完成情况如下: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657"/>
        <w:gridCol w:w="1344"/>
        <w:gridCol w:w="1139"/>
        <w:gridCol w:w="138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部门名称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岗位名称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计划储备人数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计划储备时间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储备方式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eastAsia="宋体" w:hint="eastAsia"/>
                <w:lang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应急通信运维工程师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传输设备运维工程师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3月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6月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项目经理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7月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ERP系统运维工程师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9月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/>
                <w:snapToGrid w:val="0"/>
                <w:color w:val="000000"/>
                <w:kern w:val="0"/>
                <w:sz w:val="22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运行监控运维工程师</w:t>
            </w:r>
          </w:p>
        </w:tc>
        <w:tc>
          <w:tcPr>
            <w:tcW w:w="1657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10月</w:t>
            </w:r>
          </w:p>
        </w:tc>
        <w:tc>
          <w:tcPr>
            <w:tcW w:w="113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等线" w:hAnsi="Arial" w:cs="Arial" w:hint="eastAsia"/>
                <w:snapToGrid w:val="0"/>
                <w:color w:val="000000"/>
                <w:kern w:val="0"/>
                <w:sz w:val="22"/>
                <w:szCs w:val="21"/>
                <w:lang w:val="en-US" w:eastAsia="zh-CN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运维部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数据库运维工程师</w:t>
            </w:r>
          </w:p>
        </w:tc>
        <w:tc>
          <w:tcPr>
            <w:tcW w:w="16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12月</w:t>
            </w:r>
          </w:p>
        </w:tc>
        <w:tc>
          <w:tcPr>
            <w:tcW w:w="1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内部选聘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未开始</w:t>
            </w:r>
          </w:p>
        </w:tc>
      </w:tr>
    </w:tbl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计划12月份招聘数据库运维工程师1人，其他招聘计划全部按规定时间完成。招聘计划完成率和储备计划完成率均为100%</w:t>
      </w:r>
    </w:p>
    <w:p>
      <w:pPr>
        <w:pStyle w:val="3"/>
        <w:bidi w:val="0"/>
      </w:pPr>
      <w:r>
        <w:rPr>
          <w:rFonts w:hint="default"/>
        </w:rPr>
        <w:t>人员</w:t>
      </w:r>
      <w:r>
        <w:rPr>
          <w:rFonts w:hint="eastAsia"/>
          <w:lang w:val="en-US" w:eastAsia="zh-CN"/>
        </w:rPr>
        <w:t>备份</w:t>
      </w:r>
      <w:r>
        <w:rPr>
          <w:rFonts w:hint="eastAsia"/>
          <w:lang w:eastAsia="zh-CN"/>
        </w:rPr>
        <w:t>管理情况总结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9923"/>
      <w:r>
        <w:rPr>
          <w:rFonts w:hint="eastAsia"/>
          <w:lang w:val="en-US" w:eastAsia="zh-CN"/>
        </w:rPr>
        <w:t>截止2025年10月按计划完成运维部经理、研发部经理、应急通信运维工程师、基础环境运维工程师、软件研发工程师的备份，保证了各项目的平稳运行。</w:t>
      </w:r>
    </w:p>
    <w:p>
      <w:pPr>
        <w:pStyle w:val="3"/>
        <w:bidi w:val="0"/>
      </w:pPr>
      <w:r>
        <w:rPr>
          <w:rFonts w:hint="default"/>
        </w:rPr>
        <w:t>人员</w:t>
      </w:r>
      <w:r>
        <w:rPr>
          <w:rFonts w:hint="eastAsia"/>
          <w:lang w:val="en-US" w:eastAsia="zh-CN"/>
        </w:rPr>
        <w:t>培训</w:t>
      </w:r>
      <w:r>
        <w:rPr>
          <w:rFonts w:hint="eastAsia"/>
          <w:lang w:eastAsia="zh-CN"/>
        </w:rPr>
        <w:t>管理情况总结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全年计划开展31场培训（含3场新员工培训），累计74课时；截止</w:t>
      </w:r>
      <w:r>
        <w:rPr>
          <w:rFonts w:hint="eastAsia"/>
          <w:lang w:val="en-US" w:eastAsia="zh-CN"/>
        </w:rPr>
        <w:t>10</w:t>
      </w:r>
      <w:r>
        <w:t>月，完成</w:t>
      </w:r>
      <w:r>
        <w:rPr>
          <w:rFonts w:hint="eastAsia"/>
          <w:lang w:val="en-US" w:eastAsia="zh-CN"/>
        </w:rPr>
        <w:t>27</w:t>
      </w:r>
      <w:r>
        <w:t>场培训（含</w:t>
      </w:r>
      <w:r>
        <w:rPr>
          <w:rFonts w:hint="eastAsia"/>
          <w:lang w:val="en-US" w:eastAsia="zh-CN"/>
        </w:rPr>
        <w:t>3</w:t>
      </w:r>
      <w:r>
        <w:t>场新员工培训），共计</w:t>
      </w:r>
      <w:r>
        <w:rPr>
          <w:rFonts w:hint="eastAsia"/>
          <w:lang w:val="en-US" w:eastAsia="zh-CN"/>
        </w:rPr>
        <w:t>64</w:t>
      </w:r>
      <w:r>
        <w:t>课时，其中内部讲师授课1</w:t>
      </w:r>
      <w:r>
        <w:rPr>
          <w:rFonts w:hint="eastAsia"/>
          <w:lang w:val="en-US" w:eastAsia="zh-CN"/>
        </w:rPr>
        <w:t>8</w:t>
      </w:r>
      <w:r>
        <w:t>场，外部讲师</w:t>
      </w:r>
      <w:r>
        <w:rPr>
          <w:rFonts w:hint="eastAsia"/>
          <w:lang w:val="en-US" w:eastAsia="zh-CN"/>
        </w:rPr>
        <w:t>8</w:t>
      </w:r>
      <w:r>
        <w:t>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外派1场</w:t>
      </w:r>
      <w:r>
        <w:t>。培训内容涵盖管理类（4D卓越团队、情景领导等）、规范类（ITSS运维服务体系等）、技术类（Oracle数据库优化、系统监控工具使用等），实现培训过程签到、课件存档及讲师评价全流程管理。</w:t>
      </w:r>
    </w:p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截止目前培训计划完成率为100%</w:t>
      </w:r>
    </w:p>
    <w:p>
      <w:pPr>
        <w:pStyle w:val="3"/>
        <w:bidi w:val="0"/>
      </w:pPr>
      <w:bookmarkStart w:id="12" w:name="_Toc76"/>
      <w:r>
        <w:rPr>
          <w:rFonts w:hint="default"/>
        </w:rPr>
        <w:t>人员</w:t>
      </w:r>
      <w:r>
        <w:rPr>
          <w:rFonts w:hint="eastAsia"/>
          <w:lang w:val="en-US" w:eastAsia="zh-CN"/>
        </w:rPr>
        <w:t>绩效考核</w:t>
      </w:r>
      <w:r>
        <w:rPr>
          <w:rFonts w:hint="eastAsia"/>
          <w:lang w:eastAsia="zh-CN"/>
        </w:rPr>
        <w:t>管理情况总结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总经部牵头完成第一、二</w:t>
      </w:r>
      <w:r>
        <w:rPr>
          <w:rFonts w:hint="eastAsia"/>
          <w:lang w:val="en-US" w:eastAsia="zh-CN"/>
        </w:rPr>
        <w:t>和三</w:t>
      </w:r>
      <w:r>
        <w:t>季度考核，覆盖</w:t>
      </w:r>
      <w:r>
        <w:rPr>
          <w:rFonts w:hint="eastAsia"/>
          <w:lang w:val="en-US" w:eastAsia="zh-CN"/>
        </w:rPr>
        <w:t>运维相关部门</w:t>
      </w:r>
      <w:r>
        <w:t>，涉及管理岗、技术岗、操作岗，考核指标按岗位差异化设置，依据《绩效考核制度》执行。</w:t>
      </w:r>
    </w:p>
    <w:p>
      <w:pPr>
        <w:pStyle w:val="a1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所有人员均参与绩效考核，绩效考核覆盖率达到100%，绩效考核结果如下</w:t>
      </w:r>
    </w:p>
    <w:tbl>
      <w:tblPr>
        <w:tblStyle w:val="TableNormal"/>
        <w:tblW w:w="850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9"/>
        <w:gridCol w:w="2113"/>
        <w:gridCol w:w="2126"/>
        <w:gridCol w:w="2126"/>
      </w:tblGrid>
      <w:tr>
        <w:tblPrEx>
          <w:tblW w:w="850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考核等级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第一季度（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第二季度（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第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三</w:t>
            </w:r>
            <w:r>
              <w:rPr>
                <w:rFonts w:ascii="Arial" w:eastAsia="等线" w:hAnsi="Arial" w:cs="Arial"/>
                <w:sz w:val="22"/>
              </w:rPr>
              <w:t>季度（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12</w:t>
            </w:r>
            <w:r>
              <w:rPr>
                <w:rFonts w:ascii="Arial" w:eastAsia="等线" w:hAnsi="Arial" w:cs="Arial"/>
                <w:sz w:val="22"/>
              </w:rPr>
              <w:t>人）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优秀（&gt;90分）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80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17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合格（80-90分）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8人，占比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11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9</w:t>
            </w:r>
            <w:r>
              <w:rPr>
                <w:rFonts w:ascii="Arial" w:eastAsia="等线" w:hAnsi="Arial" w:cs="Arial"/>
                <w:sz w:val="22"/>
              </w:rPr>
              <w:t>2%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10人，占比83%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需改进（70-80分）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人，占比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0</w:t>
            </w:r>
            <w:r>
              <w:rPr>
                <w:rFonts w:ascii="Arial" w:eastAsia="等线" w:hAnsi="Arial" w:cs="Arial"/>
                <w:sz w:val="22"/>
              </w:rPr>
              <w:t>%</w:t>
            </w:r>
          </w:p>
        </w:tc>
      </w:tr>
      <w:tr>
        <w:tblPrEx>
          <w:tblW w:w="8504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不合格（&lt;70分）</w:t>
            </w:r>
          </w:p>
        </w:tc>
        <w:tc>
          <w:tcPr>
            <w:tcW w:w="21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  <w:tc>
          <w:tcPr>
            <w:tcW w:w="21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  <w:tc>
          <w:tcPr>
            <w:tcW w:w="2126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 w:leftChars="0"/>
              <w:jc w:val="left"/>
              <w:textAlignment w:val="baseline"/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Arial" w:eastAsia="等线" w:hAnsi="Arial" w:cs="Arial"/>
                <w:sz w:val="22"/>
              </w:rPr>
              <w:t>0人，占比0%</w:t>
            </w:r>
          </w:p>
        </w:tc>
      </w:tr>
    </w:tbl>
    <w:p>
      <w:pPr>
        <w:pStyle w:val="3"/>
        <w:bidi w:val="0"/>
        <w:rPr>
          <w:rFonts w:hint="default"/>
        </w:rPr>
      </w:pPr>
      <w:bookmarkStart w:id="13" w:name="_Toc22877"/>
      <w:r>
        <w:rPr>
          <w:rFonts w:hint="default"/>
        </w:rPr>
        <w:t>人员技能评价</w:t>
      </w:r>
      <w:r>
        <w:rPr>
          <w:rFonts w:hint="eastAsia"/>
          <w:lang w:eastAsia="zh-CN"/>
        </w:rPr>
        <w:t>管理情况总结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t>截止</w:t>
      </w:r>
      <w:r>
        <w:rPr>
          <w:rFonts w:hint="eastAsia"/>
          <w:lang w:val="en-US" w:eastAsia="zh-CN"/>
        </w:rPr>
        <w:t>10</w:t>
      </w:r>
      <w:r>
        <w:t>月，完成</w:t>
      </w:r>
      <w:r>
        <w:rPr>
          <w:rFonts w:hint="eastAsia"/>
          <w:lang w:val="en-US" w:eastAsia="zh-CN"/>
        </w:rPr>
        <w:t>6</w:t>
      </w:r>
      <w:r>
        <w:t>名新招聘员工技能评价及</w:t>
      </w:r>
      <w:r>
        <w:rPr>
          <w:rFonts w:hint="eastAsia"/>
          <w:lang w:val="en-US" w:eastAsia="zh-CN"/>
        </w:rPr>
        <w:t>7</w:t>
      </w:r>
      <w:r>
        <w:t>名储备调岗员工技能再评价，</w:t>
      </w:r>
      <w:r>
        <w:rPr>
          <w:rFonts w:hint="eastAsia"/>
          <w:lang w:val="en-US" w:eastAsia="zh-CN"/>
        </w:rPr>
        <w:t>招聘员工</w:t>
      </w:r>
      <w:r>
        <w:t>按流程办理入职。</w:t>
      </w:r>
      <w:r>
        <w:rPr>
          <w:rFonts w:hint="eastAsia"/>
          <w:lang w:val="en-US" w:eastAsia="zh-CN"/>
        </w:rPr>
        <w:t>其他员工的评价计划在12月份进行。</w:t>
      </w:r>
    </w:p>
    <w:p>
      <w:pPr>
        <w:pStyle w:val="3"/>
        <w:bidi w:val="0"/>
        <w:rPr>
          <w:rFonts w:hint="default"/>
        </w:rPr>
      </w:pPr>
      <w:bookmarkStart w:id="14" w:name="_Toc9047"/>
      <w:r>
        <w:rPr>
          <w:rFonts w:hint="default"/>
        </w:rPr>
        <w:t>岗位结构</w:t>
      </w:r>
      <w:r>
        <w:rPr>
          <w:rFonts w:hint="eastAsia"/>
          <w:lang w:eastAsia="zh-CN"/>
        </w:rPr>
        <w:t>管理情况总结</w:t>
      </w:r>
      <w:bookmarkEnd w:id="14"/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年初制定的组织架构与岗位设置计划已全面落地执行。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9523"/>
      <w:r>
        <w:rPr>
          <w:rFonts w:hint="eastAsia"/>
          <w:lang w:val="en-US" w:eastAsia="zh-CN"/>
        </w:rPr>
        <w:t>资源管理情况总结</w:t>
      </w:r>
      <w:bookmarkEnd w:id="15"/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12626"/>
      <w:r>
        <w:rPr>
          <w:rFonts w:hint="eastAsia"/>
          <w:lang w:val="en-US" w:eastAsia="zh-CN"/>
        </w:rPr>
        <w:t>运维工具管理情况总结</w:t>
      </w:r>
      <w:bookmarkEnd w:id="16"/>
    </w:p>
    <w:p>
      <w:pPr>
        <w:pStyle w:val="a1"/>
        <w:bidi w:val="0"/>
      </w:pPr>
      <w:r>
        <w:t>2025年建立运维服务</w:t>
      </w:r>
      <w:r>
        <w:rPr>
          <w:rFonts w:hint="eastAsia"/>
          <w:lang w:val="en-US" w:eastAsia="zh-CN"/>
        </w:rPr>
        <w:t>能力</w:t>
      </w:r>
      <w:r>
        <w:t>管理体系制度，各项管理初步实现通过运维工具进行管理。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加强了流程管理工具的改进工作：收集使用意见，对工具进行了部分改进，提高了工具的实用性；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加强了自动化管理工具的应用 ：对主要的运维工程师加强了自动化管理工具的培训，提升了操作能力。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2025年10月对运维工具进行了一次自评估，达到设定目标。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7" w:name="_Toc1648"/>
      <w:r>
        <w:rPr>
          <w:rFonts w:hint="eastAsia"/>
          <w:lang w:val="en-US" w:eastAsia="zh-CN"/>
        </w:rPr>
        <w:t>服务台管理情况总结</w:t>
      </w:r>
      <w:bookmarkEnd w:id="1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服务台专员严格执行《服务台管理制度》，作为一线人员及时对客户疑问进行解答，极大的提高了客户满意度，经过满意度调查得知，截止2025年10月，客户满意度得分为95分，达到客户满意度指标要求的95分。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0211"/>
      <w:r>
        <w:rPr>
          <w:rFonts w:hint="eastAsia"/>
          <w:lang w:val="en-US" w:eastAsia="zh-CN"/>
        </w:rPr>
        <w:t>据统计1-10月份的服务台事件共420件，回访420件，回访率达到100%，满足KPI指标要求的服务台回访率≥95%的指标且没有客户投诉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统计第一、二和三季度的服务台派单成功率得出，派单成功率分别是95%、100%、100%。满足KPI指标要求的每季度</w:t>
      </w:r>
      <w:r>
        <w:rPr>
          <w:spacing w:val="-3"/>
          <w:sz w:val="24"/>
          <w:szCs w:val="24"/>
        </w:rPr>
        <w:t>服务台派单成功</w:t>
      </w:r>
      <w:r>
        <w:rPr>
          <w:sz w:val="24"/>
          <w:szCs w:val="24"/>
        </w:rPr>
        <w:t>率</w:t>
      </w:r>
      <w:r>
        <w:rPr>
          <w:rFonts w:hint="eastAsia"/>
          <w:lang w:val="en-US" w:eastAsia="zh-CN"/>
        </w:rPr>
        <w:t>≥95%的指标。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备件库管理情况总结</w:t>
      </w:r>
      <w:bookmarkEnd w:id="18"/>
    </w:p>
    <w:p>
      <w:pPr>
        <w:pStyle w:val="a1"/>
        <w:bidi w:val="0"/>
        <w:rPr>
          <w:rFonts w:hint="default"/>
          <w:lang w:val="en-US" w:eastAsia="zh-CN"/>
        </w:rPr>
      </w:pPr>
      <w:r>
        <w:t>2025年，公司持续加强备件库的规范化管理，将其作为保障运维服务连续性与响应效率的重要基础。通过完善库存管理制度、推行定期盘点机制及强化流程执行，各季度备件库盘点准确率均保持在95%以上，达到既定质量目标，有效支持了一线运维工作的顺利开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9" w:name="_Toc32323"/>
      <w:r>
        <w:rPr>
          <w:rFonts w:hint="eastAsia"/>
          <w:lang w:val="en-US" w:eastAsia="zh-CN"/>
        </w:rPr>
        <w:t>服务知识管理情况总结</w:t>
      </w:r>
      <w:bookmarkEnd w:id="19"/>
    </w:p>
    <w:p>
      <w:pPr>
        <w:pStyle w:val="a1"/>
        <w:bidi w:val="0"/>
      </w:pPr>
      <w:r>
        <w:t>2025年重点加强了</w:t>
      </w:r>
      <w:r>
        <w:rPr>
          <w:rFonts w:hint="eastAsia"/>
          <w:lang w:val="en-US" w:eastAsia="zh-CN"/>
        </w:rPr>
        <w:t>服务知识</w:t>
      </w:r>
      <w:r>
        <w:t>管理工作：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补充内容，提升质量：组织各个项目组对知识库的信息架构进行梳理，提升结构的合理性，对于通用知识，组织进行集中录入，规范入库管理和知识审核；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建立了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服务知识管理制度</w:t>
      </w:r>
      <w:r>
        <w:rPr>
          <w:rFonts w:hint="eastAsia"/>
          <w:lang w:eastAsia="zh-CN"/>
        </w:rPr>
        <w:t>》</w:t>
      </w:r>
      <w:r>
        <w:t>，加强对知识库的管理工作；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第一、二和三季度分别录入知识40条、38条和40条。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20" w:name="_Toc29819"/>
      <w:r>
        <w:rPr>
          <w:rFonts w:hint="eastAsia"/>
          <w:lang w:val="en-US" w:eastAsia="zh-CN"/>
        </w:rPr>
        <w:t>最终软件库管理情况总结</w:t>
      </w:r>
      <w:bookmarkEnd w:id="20"/>
    </w:p>
    <w:p>
      <w:pPr>
        <w:pStyle w:val="a1"/>
        <w:bidi w:val="0"/>
      </w:pPr>
      <w:r>
        <w:t>2025年重点加强了最终软件库管理工作：</w:t>
      </w:r>
    </w:p>
    <w:p>
      <w:pPr>
        <w:pStyle w:val="a1"/>
        <w:bidi w:val="0"/>
        <w:rPr>
          <w:rFonts w:hint="eastAsia"/>
          <w:lang w:val="en-US" w:eastAsia="zh-CN"/>
        </w:rPr>
      </w:pPr>
      <w:bookmarkStart w:id="21" w:name="_Toc26954"/>
      <w:r>
        <w:rPr>
          <w:rFonts w:hint="eastAsia"/>
          <w:lang w:val="en-US" w:eastAsia="zh-CN"/>
        </w:rPr>
        <w:t>最终软件库管理制度，实现了代码管理的</w:t>
      </w:r>
      <w:r>
        <w:t>标准化及制度化，</w:t>
      </w:r>
      <w:r>
        <w:rPr>
          <w:rFonts w:hint="eastAsia"/>
          <w:lang w:val="en-US" w:eastAsia="zh-CN"/>
        </w:rPr>
        <w:t>提高</w:t>
      </w:r>
      <w:r>
        <w:t>运维人员</w:t>
      </w:r>
      <w:r>
        <w:rPr>
          <w:rFonts w:hint="eastAsia"/>
          <w:lang w:val="en-US" w:eastAsia="zh-CN"/>
        </w:rPr>
        <w:t>功率效率，极大的降低了版本出错情况</w:t>
      </w:r>
      <w:r>
        <w:t>，因此</w:t>
      </w:r>
      <w:r>
        <w:rPr>
          <w:rFonts w:hint="eastAsia"/>
          <w:lang w:val="en-US" w:eastAsia="zh-CN"/>
        </w:rPr>
        <w:t>软件版本正确</w:t>
      </w:r>
      <w:r>
        <w:t>率逐年提升，2025年设定的</w:t>
      </w:r>
      <w:r>
        <w:rPr>
          <w:rFonts w:hint="eastAsia"/>
          <w:lang w:val="en-US" w:eastAsia="zh-CN"/>
        </w:rPr>
        <w:t>软件入库合格率</w:t>
      </w:r>
      <w:r>
        <w:t>均为9</w:t>
      </w:r>
      <w:r>
        <w:rPr>
          <w:rFonts w:hint="eastAsia"/>
          <w:lang w:val="en-US" w:eastAsia="zh-CN"/>
        </w:rPr>
        <w:t>8</w:t>
      </w:r>
      <w:r>
        <w:t>%，经</w:t>
      </w:r>
      <w:r>
        <w:rPr>
          <w:rFonts w:hint="eastAsia"/>
          <w:lang w:val="en-US" w:eastAsia="zh-CN"/>
        </w:rPr>
        <w:t>考核</w:t>
      </w:r>
      <w:r>
        <w:t>，2025年</w:t>
      </w:r>
      <w:r>
        <w:rPr>
          <w:rFonts w:hint="eastAsia"/>
          <w:lang w:val="en-US" w:eastAsia="zh-CN"/>
        </w:rPr>
        <w:t>第一、二和三季度软件入库合格率均为95%、97%、100%</w:t>
      </w:r>
      <w:r>
        <w:t>。</w:t>
      </w:r>
      <w:r>
        <w:rPr>
          <w:rFonts w:hint="eastAsia"/>
          <w:lang w:val="en-US" w:eastAsia="zh-CN"/>
        </w:rPr>
        <w:t>其中第一和二季度没有达到指标要求。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虽未能达到考核指标要求，但是仍然在一定程度上提高了提高了开发效率，根据需要需要组织研发部及相关人员学习最终软件库管理制度，争取达到考核目标值。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服务数据管理情况总结</w:t>
      </w:r>
      <w:bookmarkEnd w:id="21"/>
    </w:p>
    <w:p>
      <w:pPr>
        <w:pStyle w:val="a1"/>
        <w:bidi w:val="0"/>
      </w:pPr>
      <w:r>
        <w:t>2025年重点加强了服务数据管理工作：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规范采集源头：制定统一的《</w:t>
      </w:r>
      <w:r>
        <w:rPr>
          <w:rFonts w:hint="eastAsia"/>
          <w:lang w:val="en-US" w:eastAsia="zh-CN"/>
        </w:rPr>
        <w:t>服务数据管理制度</w:t>
      </w:r>
      <w:r>
        <w:t>》，明确监控数据、故障记录、工单处理等各类数据的录入格式、必填字段。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对运维</w:t>
      </w:r>
      <w:r>
        <w:rPr>
          <w:rFonts w:hint="eastAsia"/>
          <w:lang w:val="en-US" w:eastAsia="zh-CN"/>
        </w:rPr>
        <w:t>服务</w:t>
      </w:r>
      <w:r>
        <w:t>人员开展了专项培训，结合实际案例讲解标准要求，考核合格后方可参与数据采集，从源头减少错误。</w:t>
      </w:r>
    </w:p>
    <w:p>
      <w:pPr>
        <w:numPr>
          <w:ilvl w:val="0"/>
          <w:numId w:val="4"/>
        </w:numPr>
        <w:spacing w:before="78" w:line="362" w:lineRule="auto"/>
        <w:ind w:left="425" w:right="123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pacing w:val="3"/>
          <w:sz w:val="24"/>
          <w:szCs w:val="24"/>
        </w:rPr>
        <w:t>2025年度运维服务能力管理指标体系</w:t>
      </w:r>
      <w:r>
        <w:rPr>
          <w:rFonts w:ascii="宋体" w:eastAsia="宋体" w:hAnsi="宋体" w:cs="宋体" w:hint="eastAsia"/>
          <w:spacing w:val="3"/>
          <w:sz w:val="24"/>
          <w:szCs w:val="24"/>
          <w:lang w:val="en-US" w:eastAsia="zh-CN"/>
        </w:rPr>
        <w:t>中要求服务数据的季度分析利用次数≥2次</w:t>
      </w:r>
      <w:r>
        <w:rPr>
          <w:rFonts w:ascii="宋体" w:eastAsia="宋体" w:hAnsi="宋体" w:cs="宋体"/>
          <w:spacing w:val="2"/>
          <w:sz w:val="24"/>
          <w:szCs w:val="24"/>
        </w:rPr>
        <w:t>，</w:t>
      </w:r>
      <w:r>
        <w:rPr>
          <w:rFonts w:ascii="宋体" w:eastAsia="宋体" w:hAnsi="宋体" w:cs="宋体" w:hint="eastAsia"/>
          <w:spacing w:val="2"/>
          <w:sz w:val="24"/>
          <w:szCs w:val="24"/>
          <w:lang w:val="en-US" w:eastAsia="zh-CN"/>
        </w:rPr>
        <w:t>2025年第一、二和三季度服务数据分析利用次数分别为2次、3次、3次</w:t>
      </w:r>
      <w:r>
        <w:rPr>
          <w:rFonts w:ascii="宋体" w:eastAsia="宋体" w:hAnsi="宋体" w:cs="宋体"/>
          <w:spacing w:val="-4"/>
          <w:sz w:val="24"/>
          <w:szCs w:val="24"/>
        </w:rPr>
        <w:t>。目前公司服务数据管理情况良好，但仍有提升的空间。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2" w:name="_Toc6310"/>
      <w:r>
        <w:rPr>
          <w:rFonts w:hint="eastAsia"/>
          <w:lang w:val="en-US" w:eastAsia="zh-CN"/>
        </w:rPr>
        <w:t>技术管理情况总结</w:t>
      </w:r>
      <w:bookmarkEnd w:id="2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项目总体</w:t>
      </w:r>
      <w:r>
        <w:rPr>
          <w:rFonts w:hint="eastAsia"/>
          <w:lang w:val="en-US" w:eastAsia="zh-CN"/>
        </w:rPr>
        <w:t>概况</w:t>
      </w:r>
    </w:p>
    <w:tbl>
      <w:tblPr>
        <w:tblStyle w:val="TableNormal"/>
        <w:tblW w:w="84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5"/>
      </w:tblGrid>
      <w:tr>
        <w:tblPrEx>
          <w:tblW w:w="842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内容分类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>
        <w:tblPrEx>
          <w:tblW w:w="8425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总体目标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建设基于物联网技术的物联标识系统，实现物联网设备的注册、审核、解析、标识管理，深化物联网设备信息应用；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打造统一设备标识管理体系，为设备新增、应用深化、数据共享及与业务系统深度融合提供技术基础。</w:t>
            </w:r>
          </w:p>
        </w:tc>
      </w:tr>
      <w:tr>
        <w:tblPrEx>
          <w:tblW w:w="8425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总体计划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年5月：完成需求调研、需求说明书编制、原型设计、数据库表设计及数据来源梳理；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年6-7月：完成UI设计、前端开发、后端开发、接口开发及数据联调；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年8月：完成系统联调及问题整改，达到上线标准；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年9月：完成上线准备及部署。</w:t>
            </w:r>
          </w:p>
        </w:tc>
      </w:tr>
      <w:tr>
        <w:tblPrEx>
          <w:tblW w:w="8425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当前进度</w:t>
            </w:r>
          </w:p>
        </w:tc>
        <w:tc>
          <w:tcPr>
            <w:tcW w:w="5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完成所有功能开发，进入试运行阶段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7"/>
      <w:r>
        <w:t>整体计划推进表</w:t>
      </w:r>
      <w:bookmarkEnd w:id="23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2"/>
        <w:gridCol w:w="1637"/>
        <w:gridCol w:w="3576"/>
        <w:gridCol w:w="255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任务阶段</w:t>
            </w:r>
          </w:p>
        </w:tc>
        <w:tc>
          <w:tcPr>
            <w:tcW w:w="1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时间节点</w:t>
            </w:r>
          </w:p>
        </w:tc>
        <w:tc>
          <w:tcPr>
            <w:tcW w:w="357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工作内容</w:t>
            </w:r>
          </w:p>
        </w:tc>
        <w:tc>
          <w:tcPr>
            <w:tcW w:w="255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需求调研</w:t>
            </w:r>
          </w:p>
        </w:tc>
        <w:tc>
          <w:tcPr>
            <w:tcW w:w="1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2025年4-5月</w:t>
            </w:r>
          </w:p>
        </w:tc>
        <w:tc>
          <w:tcPr>
            <w:tcW w:w="357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完成需求调研，编制需求说明书，进行原型设计，完成数据库表设计和数据来源梳理</w:t>
            </w:r>
          </w:p>
        </w:tc>
        <w:tc>
          <w:tcPr>
            <w:tcW w:w="255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/>
        </w:trPr>
        <w:tc>
          <w:tcPr>
            <w:tcW w:w="7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2025年6-7月</w:t>
            </w:r>
          </w:p>
        </w:tc>
        <w:tc>
          <w:tcPr>
            <w:tcW w:w="357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完成前端页面开发和后台接口调试</w:t>
            </w:r>
          </w:p>
        </w:tc>
        <w:tc>
          <w:tcPr>
            <w:tcW w:w="255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上线准备</w:t>
            </w:r>
          </w:p>
        </w:tc>
        <w:tc>
          <w:tcPr>
            <w:tcW w:w="1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357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进行联调，解决已知问题，达到上线标准</w:t>
            </w:r>
          </w:p>
        </w:tc>
        <w:tc>
          <w:tcPr>
            <w:tcW w:w="255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2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eastAsia="宋体"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系统上线</w:t>
            </w:r>
          </w:p>
        </w:tc>
        <w:tc>
          <w:tcPr>
            <w:tcW w:w="163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3576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完成系统上线</w:t>
            </w:r>
          </w:p>
        </w:tc>
        <w:tc>
          <w:tcPr>
            <w:tcW w:w="2555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8"/>
      <w:r>
        <w:t>交付物</w:t>
      </w:r>
      <w:bookmarkEnd w:id="24"/>
    </w:p>
    <w:tbl>
      <w:tblPr>
        <w:tblStyle w:val="TableNormal"/>
        <w:tblW w:w="871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7"/>
        <w:gridCol w:w="2100"/>
        <w:gridCol w:w="3480"/>
        <w:gridCol w:w="2376"/>
      </w:tblGrid>
      <w:tr>
        <w:tblPrEx>
          <w:tblW w:w="8713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序号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交付物名称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相关文件</w:t>
            </w:r>
          </w:p>
        </w:tc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default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完成情况</w:t>
            </w:r>
          </w:p>
        </w:tc>
      </w:tr>
      <w:tr>
        <w:tblPrEx>
          <w:tblW w:w="8713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物联标识系统概要设计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国网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云南</w:t>
            </w:r>
            <w:r>
              <w:rPr>
                <w:rFonts w:ascii="Arial" w:eastAsia="等线" w:hAnsi="Arial" w:cs="Arial"/>
                <w:sz w:val="22"/>
              </w:rPr>
              <w:t>省电力有限公司物联标识系统概要设计文件</w:t>
            </w:r>
          </w:p>
        </w:tc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  <w:tr>
        <w:tblPrEx>
          <w:tblW w:w="8713" w:type="dxa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21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物联标识系统详细设计说明书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国网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云南</w:t>
            </w:r>
            <w:r>
              <w:rPr>
                <w:rFonts w:ascii="Arial" w:eastAsia="等线" w:hAnsi="Arial" w:cs="Arial"/>
                <w:sz w:val="22"/>
              </w:rPr>
              <w:t>省电力公司物联标识系统详细设计说明书</w:t>
            </w:r>
          </w:p>
        </w:tc>
        <w:tc>
          <w:tcPr>
            <w:tcW w:w="23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已完成</w:t>
            </w:r>
          </w:p>
        </w:tc>
      </w:tr>
    </w:tbl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9"/>
      <w:r>
        <w:t>整体功能介绍</w:t>
      </w:r>
      <w:bookmarkEnd w:id="25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系统核心模块包括标识管理、标识数据统计、数据同步、系统管理（用户/组织/菜单/角色管理）及移动应用，实现物联网设备全生命周期管理与数据服务。</w:t>
      </w:r>
      <w:r>
        <w:rPr>
          <w:rFonts w:hint="eastAsia"/>
          <w:lang w:val="en-US" w:eastAsia="zh-CN"/>
        </w:rPr>
        <w:t>如图1所示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3013710"/>
            <wp:effectExtent l="0" t="0" r="6350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标识管理模块支持批量二维码生成、Excel导出、二维码下载及标识置为无效等功能，满足设备标识批量操作需求。</w:t>
      </w:r>
      <w:r>
        <w:rPr>
          <w:rFonts w:hint="eastAsia"/>
          <w:lang w:val="en-US" w:eastAsia="zh-CN"/>
        </w:rPr>
        <w:t>如图2所示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both"/>
        <w:textAlignment w:val="baseline"/>
      </w:pPr>
      <w:r>
        <w:drawing>
          <wp:inline distT="0" distB="0" distL="114300" distR="114300">
            <wp:extent cx="5262880" cy="3005455"/>
            <wp:effectExtent l="0" t="0" r="10160" b="1206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6" w:name="heading_10"/>
      <w:r>
        <w:t>主要模块详情</w:t>
      </w:r>
      <w:bookmarkEnd w:id="26"/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数据统计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rPr>
          <w:rStyle w:val="Char0"/>
        </w:rPr>
        <w:t>以单位、设备类型为统计维度，采用柱状图可视化展示数据，支持全局及明细数据查看，助力设备分布与数量分析。</w:t>
      </w:r>
      <w:r>
        <w:drawing>
          <wp:inline distT="0" distB="0" distL="114300" distR="114300">
            <wp:extent cx="5262880" cy="2638425"/>
            <wp:effectExtent l="0" t="0" r="10160" b="133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4310" cy="2296160"/>
            <wp:effectExtent l="0" t="0" r="13970" b="508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数据同步</w:t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实现与ISC系统的用户及组织信息同步，确保标识系统内的人员机构信息与主库一致，保障数据准确性。</w:t>
      </w:r>
      <w:r>
        <w:rPr>
          <w:rFonts w:hint="eastAsia"/>
          <w:lang w:val="en-US" w:eastAsia="zh-CN"/>
        </w:rPr>
        <w:t>如下图所示</w:t>
      </w:r>
      <w:r>
        <w:drawing>
          <wp:inline distT="0" distB="0" distL="114300" distR="114300">
            <wp:extent cx="5266690" cy="2293620"/>
            <wp:effectExtent l="0" t="0" r="6350" b="762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a3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Style w:val="Char0"/>
          <w:rFonts w:hint="eastAsia"/>
          <w:lang w:val="en-US"/>
        </w:rPr>
      </w:pPr>
      <w:r>
        <w:t>菜单管理支持自定义菜单名称、URL、路径、排序及显示状态等配置，提供返回、保存、删除及添加下级等操作按钮；组织管理记录组织名称、上级机构及创建时间等核心信息，支撑系统权限精细化管控。</w:t>
      </w:r>
      <w:r>
        <w:rPr>
          <w:rFonts w:hint="eastAsia"/>
          <w:lang w:val="en-US"/>
        </w:rPr>
        <w:t>如下图所示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62880" cy="2108835"/>
            <wp:effectExtent l="0" t="0" r="10160" b="952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/>
          <w:sz w:val="22"/>
        </w:rPr>
        <w:br/>
      </w:r>
      <w:r>
        <w:drawing>
          <wp:inline distT="0" distB="0" distL="114300" distR="114300">
            <wp:extent cx="5270500" cy="2116455"/>
            <wp:effectExtent l="0" t="0" r="2540" b="190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支持权限管理功能，实现按需分配权限。进行严格管控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2820035"/>
            <wp:effectExtent l="0" t="0" r="1905" b="146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</w:pPr>
      <w:r>
        <w:drawing>
          <wp:inline distT="0" distB="0" distL="114300" distR="114300">
            <wp:extent cx="5271135" cy="1597025"/>
            <wp:effectExtent l="0" t="0" r="1905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0" w:after="120" w:line="288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同时支持设备管理功能</w:t>
      </w:r>
    </w:p>
    <w:p>
      <w:pPr>
        <w:pStyle w:val="a1"/>
      </w:pPr>
      <w:r>
        <w:drawing>
          <wp:inline distT="0" distB="0" distL="114300" distR="114300">
            <wp:extent cx="5271135" cy="2962275"/>
            <wp:effectExtent l="0" t="0" r="1905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3"/>
      <w:r>
        <w:t>项目总体</w:t>
      </w:r>
      <w:bookmarkEnd w:id="27"/>
      <w:r>
        <w:rPr>
          <w:rFonts w:hint="eastAsia"/>
          <w:lang w:val="en-US" w:eastAsia="zh-CN"/>
        </w:rPr>
        <w:t>概况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704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内容分类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详细说明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总体目标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深入研究隔离装置工作原理，研发自动监测处置工具，在不影响业务运行的前提下，通过实时监测与故障处理功能，5分钟内完成自动故障处置，提升外网业务系统运行稳定性。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总体计划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年1月：完成需求收集与确认；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3-5</w:t>
            </w:r>
            <w:r>
              <w:rPr>
                <w:rFonts w:ascii="Arial" w:eastAsia="等线" w:hAnsi="Arial" w:cs="Arial"/>
                <w:sz w:val="22"/>
              </w:rPr>
              <w:t>月：开展四大功能模块（探测及处理、日志记录、短信邮件告警、日志审计）迭代研发与测试；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6-7</w:t>
            </w:r>
            <w:r>
              <w:rPr>
                <w:rFonts w:ascii="Arial" w:eastAsia="等线" w:hAnsi="Arial" w:cs="Arial"/>
                <w:sz w:val="22"/>
              </w:rPr>
              <w:t>月：完成线上部署试用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并进行BUG修复</w:t>
            </w:r>
            <w:r>
              <w:rPr>
                <w:rFonts w:ascii="Arial" w:eastAsia="等线" w:hAnsi="Arial" w:cs="Arial"/>
                <w:sz w:val="22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202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年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8</w:t>
            </w:r>
            <w:r>
              <w:rPr>
                <w:rFonts w:ascii="Arial" w:eastAsia="等线" w:hAnsi="Arial" w:cs="Arial"/>
                <w:sz w:val="22"/>
              </w:rPr>
              <w:t>-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月：</w:t>
            </w:r>
            <w:r>
              <w:rPr>
                <w:rFonts w:eastAsia="等线" w:cs="Arial" w:hint="eastAsia"/>
                <w:sz w:val="22"/>
                <w:lang w:val="en-US" w:eastAsia="zh-CN"/>
              </w:rPr>
              <w:t>验收</w:t>
            </w:r>
            <w:r>
              <w:rPr>
                <w:rFonts w:ascii="Arial" w:eastAsia="等线" w:hAnsi="Arial" w:cs="Arial"/>
                <w:sz w:val="22"/>
              </w:rPr>
              <w:t>；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当前进度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验收工作签字流程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本月任务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完成签字验收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待协调事项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现存问题</w:t>
            </w:r>
          </w:p>
        </w:tc>
        <w:tc>
          <w:tcPr>
            <w:tcW w:w="70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  <w:textAlignment w:val="baseline"/>
            </w:pPr>
            <w:r>
              <w:rPr>
                <w:rFonts w:ascii="Arial" w:eastAsia="等线" w:hAnsi="Arial" w:cs="Arial"/>
                <w:sz w:val="22"/>
              </w:rPr>
              <w:t>无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8" w:name="heading_15"/>
      <w:r>
        <w:t>整体功能介绍</w:t>
      </w:r>
      <w:bookmarkEnd w:id="2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系统包含监测及处置、日志记录、短信邮件告警、日志审计四大核心模块，实现隔离装置的实时监测与智能化故障处理，解决传统人工运维效率低的问题，提升外网业务系统稳定性。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r>
        <w:t>主要模块详情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eastAsia="宋体" w:hint="default"/>
          <w:lang w:val="en-US" w:eastAsia="zh-CN"/>
        </w:rPr>
      </w:pPr>
      <w:r>
        <w:t>监控模块是核心功能载体，实现隔离装置设备线上化管理与实时监控，具备5分钟自动巡检、异常关闭后自动重启等能力，彻底实现隔离装置运维自动化，减少人工干预成本。</w:t>
      </w:r>
      <w:r>
        <w:rPr>
          <w:rFonts w:hint="eastAsia"/>
          <w:lang w:val="en-US" w:eastAsia="zh-CN"/>
        </w:rPr>
        <w:t>监控功能支持总体查看设备负载趋势，如下图：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59070" cy="2442845"/>
            <wp:effectExtent l="0" t="0" r="13970" b="1079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日志记录系统的操作情况，如下图：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6690" cy="2218055"/>
            <wp:effectExtent l="0" t="0" r="6350" b="698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短信邮件告警功能主要是实现对异常设备进行通知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73040" cy="3006725"/>
            <wp:effectExtent l="0" t="0" r="0" b="1079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日志审计功能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1692910"/>
            <wp:effectExtent l="0" t="0" r="5080" b="1397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a1"/>
        <w:bidi w:val="0"/>
        <w:rPr>
          <w:rFonts w:eastAsia="宋体" w:hint="default"/>
          <w:lang w:val="en-US" w:eastAsia="zh-CN"/>
        </w:rPr>
      </w:pPr>
      <w:r>
        <w:t>截止2025年</w:t>
      </w:r>
      <w:r>
        <w:rPr>
          <w:rFonts w:hint="eastAsia"/>
          <w:lang w:val="en-US" w:eastAsia="zh-CN"/>
        </w:rPr>
        <w:t>10</w:t>
      </w:r>
      <w:r>
        <w:t>月，</w:t>
      </w:r>
      <w:r>
        <w:rPr>
          <w:rFonts w:hint="eastAsia"/>
          <w:lang w:eastAsia="zh-CN"/>
        </w:rPr>
        <w:t>研发部</w:t>
      </w:r>
      <w:r>
        <w:t>和运维部按时完成了工作计划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研发工作正常开展。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0" w:name="_Toc10279"/>
      <w:r>
        <w:rPr>
          <w:rFonts w:hint="eastAsia"/>
          <w:lang w:val="en-US" w:eastAsia="zh-CN"/>
        </w:rPr>
        <w:t>运维手册研发情况总结</w:t>
      </w:r>
      <w:bookmarkEnd w:id="30"/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9"/>
        <w:gridCol w:w="1633"/>
        <w:gridCol w:w="125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bookmarkStart w:id="31" w:name="_Toc1565"/>
            <w:r>
              <w:rPr>
                <w:rFonts w:hint="eastAsia"/>
                <w:sz w:val="21"/>
                <w:szCs w:val="21"/>
                <w:lang w:val="en-US" w:eastAsia="zh-CN"/>
              </w:rPr>
              <w:t>手册名称</w:t>
            </w:r>
          </w:p>
        </w:tc>
        <w:tc>
          <w:tcPr>
            <w:tcW w:w="163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125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《PC服务器标准化操作指导书》</w:t>
            </w:r>
          </w:p>
        </w:tc>
        <w:tc>
          <w:tcPr>
            <w:tcW w:w="163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5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/>
        </w:trPr>
        <w:tc>
          <w:tcPr>
            <w:tcW w:w="562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《</w:t>
            </w:r>
            <w:r>
              <w:rPr>
                <w:rFonts w:hint="default"/>
                <w:sz w:val="21"/>
                <w:szCs w:val="21"/>
                <w:lang w:val="en-US" w:eastAsia="zh-CN"/>
              </w:rPr>
              <w:t>曲靖供电局110kV变电站电力监控系统网络安全态势感知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系统运行手册》</w:t>
            </w:r>
          </w:p>
        </w:tc>
        <w:tc>
          <w:tcPr>
            <w:tcW w:w="1633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258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firstLine="0" w:leftChars="0" w:firstLineChars="0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drawing>
          <wp:inline distT="0" distB="0" distL="114300" distR="114300">
            <wp:extent cx="5267960" cy="718185"/>
            <wp:effectExtent l="0" t="0" r="5080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研发经费使用情况总结</w:t>
      </w:r>
      <w:bookmarkEnd w:id="31"/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21998"/>
      <w:r>
        <w:rPr>
          <w:rFonts w:hint="eastAsia"/>
          <w:lang w:val="en-US" w:eastAsia="zh-CN"/>
        </w:rPr>
        <w:t>研发投入情况</w:t>
      </w:r>
    </w:p>
    <w:tbl>
      <w:tblPr>
        <w:tblStyle w:val="TableNormal"/>
        <w:tblpPr w:leftFromText="180" w:rightFromText="180" w:vertAnchor="text" w:horzAnchor="page" w:tblpX="1769" w:tblpY="716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803"/>
        <w:gridCol w:w="720"/>
        <w:gridCol w:w="1248"/>
        <w:gridCol w:w="194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7"/>
        </w:trP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序号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项目类别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项目名称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研发方式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资金投入（万元）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人员投入（人）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运维工具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物管平台-物联标识系统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8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4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运维工具</w:t>
            </w:r>
          </w:p>
        </w:tc>
        <w:tc>
          <w:tcPr>
            <w:tcW w:w="180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隔离装置监控处置工具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运维手册</w:t>
            </w:r>
          </w:p>
        </w:tc>
        <w:tc>
          <w:tcPr>
            <w:tcW w:w="180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PC服务器标准化操作指导书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</w:p>
        </w:tc>
        <w:tc>
          <w:tcPr>
            <w:tcW w:w="1803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曲靖供电局110kV变电站电力监控系统网络安全态势感知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系统运行手册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自研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eastAsia="等线" w:hAnsi="Arial" w:cs="Arial" w:hint="eastAsia"/>
                <w:sz w:val="22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63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合计</w:t>
            </w:r>
          </w:p>
        </w:tc>
        <w:tc>
          <w:tcPr>
            <w:tcW w:w="7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eastAsia="等线" w:cs="Arial" w:hint="eastAsia"/>
                <w:sz w:val="22"/>
                <w:lang w:val="en-US" w:eastAsia="zh-CN"/>
              </w:rPr>
              <w:t>20</w:t>
            </w:r>
          </w:p>
        </w:tc>
        <w:tc>
          <w:tcPr>
            <w:tcW w:w="194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eastAsia="宋体" w:hint="default"/>
                <w:lang w:val="en-US" w:eastAsia="zh-CN"/>
              </w:rPr>
            </w:pP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新技术使用情况总结</w:t>
      </w:r>
      <w:bookmarkEnd w:id="32"/>
    </w:p>
    <w:p>
      <w:pPr>
        <w:pStyle w:val="a1"/>
        <w:bidi w:val="0"/>
        <w:rPr>
          <w:rFonts w:eastAsia="宋体" w:hint="eastAsia"/>
          <w:lang w:val="en-US" w:eastAsia="zh-CN"/>
        </w:rPr>
      </w:pPr>
      <w:bookmarkStart w:id="33" w:name="_Toc16337"/>
      <w:r>
        <w:t>通过系列培训，团队成员已全面掌握Python在资源监控领域的应用能力。目前可熟练运用Pandas进行能耗数据分析，基于Flask/Dash构建实时监控可视化界面，并利用Scikit-learn实现设备异常检测模型。实践中成功将光伏电站监控系统的数据处理效率提升40%，预警准确率提高25%</w:t>
      </w:r>
      <w:r>
        <w:rPr>
          <w:rFonts w:hint="eastAsia"/>
          <w:lang w:eastAsia="zh-CN"/>
        </w:rPr>
        <w:t>。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过程管理情况总结</w:t>
      </w:r>
      <w:bookmarkEnd w:id="33"/>
    </w:p>
    <w:p>
      <w:pPr>
        <w:pStyle w:val="3"/>
        <w:bidi w:val="0"/>
        <w:rPr>
          <w:rFonts w:hint="eastAsia"/>
          <w:lang w:val="en-US" w:eastAsia="zh-CN"/>
        </w:rPr>
      </w:pPr>
      <w:bookmarkStart w:id="34" w:name="_Toc29395"/>
      <w:r>
        <w:rPr>
          <w:rFonts w:hint="eastAsia"/>
          <w:lang w:val="en-US" w:eastAsia="zh-CN"/>
        </w:rPr>
        <w:t>过程框架设计管理情况总结</w:t>
      </w:r>
      <w:bookmarkEnd w:id="34"/>
    </w:p>
    <w:p>
      <w:pPr>
        <w:pStyle w:val="a1"/>
        <w:bidi w:val="0"/>
      </w:pPr>
      <w:r>
        <w:rPr>
          <w:rFonts w:hint="eastAsia"/>
          <w:lang w:val="en-US" w:eastAsia="zh-CN"/>
        </w:rPr>
        <w:t>截止2025年月</w:t>
      </w:r>
      <w:r>
        <w:t>过程框架设计管理主要完成了以下工作：</w:t>
      </w:r>
    </w:p>
    <w:p>
      <w:pPr>
        <w:pStyle w:val="a1"/>
        <w:numPr>
          <w:ilvl w:val="0"/>
          <w:numId w:val="10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t>完成过程框架设计管理框架优化工作：根据调研结果，每季度对过程框架进行优化调整。所有项目过程框架设计与服务需求的匹配率均为≥85% 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5" w:name="_Toc20926"/>
      <w:r>
        <w:rPr>
          <w:rFonts w:hint="eastAsia"/>
          <w:lang w:val="en-US" w:eastAsia="zh-CN"/>
        </w:rPr>
        <w:t>服务级别管理情况总结</w:t>
      </w:r>
      <w:bookmarkEnd w:id="35"/>
    </w:p>
    <w:p>
      <w:pPr>
        <w:pStyle w:val="a1"/>
        <w:bidi w:val="0"/>
      </w:pPr>
      <w:r>
        <w:rPr>
          <w:rFonts w:hint="eastAsia"/>
          <w:lang w:val="en-US" w:eastAsia="zh-CN"/>
        </w:rPr>
        <w:t>截止2025年10月</w:t>
      </w:r>
      <w:r>
        <w:t>服务级别管理主要完成了以下工作：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服务级别管理工作达标。所有项目的服务级别达成率均为100%。SLA达成情况按时监控率为100%，运维服务目录通过会签审批；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服务级别协议的监测工作：各个项目在运维工作中，对涉及影响服务级别指标的事件进行每个月的跟踪并记录；</w:t>
      </w:r>
    </w:p>
    <w:p>
      <w:pPr>
        <w:pStyle w:val="a1"/>
        <w:numPr>
          <w:ilvl w:val="0"/>
          <w:numId w:val="11"/>
        </w:numPr>
        <w:bidi w:val="0"/>
        <w:ind w:left="425" w:hanging="425" w:leftChars="0" w:firstLineChars="0"/>
      </w:pPr>
      <w:r>
        <w:t>服务级别协议的量化工作：部分项目组的服务级别协议条款还存在着不容易量化的问题，促成甲方修改了部分服务级别协议，使服务级别协议的达成情况方便测量与记录。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6" w:name="_Toc12119"/>
      <w:r>
        <w:rPr>
          <w:rFonts w:hint="eastAsia"/>
          <w:lang w:val="en-US" w:eastAsia="zh-CN"/>
        </w:rPr>
        <w:t>服务报告管理情况总结</w:t>
      </w:r>
      <w:bookmarkEnd w:id="36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月，服务报告管理工作顺利完成，主要完成以下工作：</w:t>
      </w:r>
    </w:p>
    <w:p>
      <w:pPr>
        <w:pStyle w:val="a1"/>
        <w:numPr>
          <w:ilvl w:val="0"/>
          <w:numId w:val="12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服务报告管理工作全面达标，服务报告按时交付率</w:t>
      </w:r>
      <w:r>
        <w:rPr>
          <w:rFonts w:hint="eastAsia"/>
          <w:lang w:val="en-US" w:eastAsia="zh-CN"/>
        </w:rPr>
        <w:t>为100%</w:t>
      </w:r>
      <w:r>
        <w:rPr>
          <w:rFonts w:hint="default"/>
        </w:rPr>
        <w:t>；</w:t>
      </w:r>
    </w:p>
    <w:p>
      <w:pPr>
        <w:pStyle w:val="a1"/>
        <w:numPr>
          <w:ilvl w:val="0"/>
          <w:numId w:val="12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进一步加强服务事件的统计与分析工作，针对各运维对象的事件与性能状况开展系统化统计，注重对数据的多维度分析和解读，并提出改进建议，摒弃简单罗列数据的流水账式记录方式；</w:t>
      </w:r>
    </w:p>
    <w:p>
      <w:pPr>
        <w:pStyle w:val="a1"/>
        <w:numPr>
          <w:ilvl w:val="0"/>
          <w:numId w:val="12"/>
        </w:numPr>
        <w:bidi w:val="0"/>
        <w:ind w:left="425" w:hanging="425" w:leftChars="0" w:firstLineChars="0"/>
      </w:pPr>
      <w:r>
        <w:rPr>
          <w:rFonts w:hint="default"/>
        </w:rPr>
        <w:t>在当</w:t>
      </w:r>
      <w:r>
        <w:rPr>
          <w:rFonts w:hint="eastAsia"/>
          <w:lang w:val="en-US" w:eastAsia="zh-CN"/>
        </w:rPr>
        <w:t>季度</w:t>
      </w:r>
      <w:r>
        <w:rPr>
          <w:rFonts w:hint="default"/>
        </w:rPr>
        <w:t>服务报告中增设项目运行整体综述模块，对运维工作情况作出系统总结，重点归纳典型问题与风险，并对该月项目运行状态予以结论性评价。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7" w:name="_Toc16628"/>
      <w:r>
        <w:rPr>
          <w:rFonts w:hint="eastAsia"/>
          <w:lang w:val="en-US" w:eastAsia="zh-CN"/>
        </w:rPr>
        <w:t>事件管理情况总结</w:t>
      </w:r>
      <w:bookmarkEnd w:id="37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月，事件管理工作达成预期目标，具体完成情况如下：</w:t>
      </w:r>
    </w:p>
    <w:p>
      <w:pPr>
        <w:pStyle w:val="a1"/>
        <w:numPr>
          <w:ilvl w:val="0"/>
          <w:numId w:val="13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共处理事件53起，</w:t>
      </w:r>
      <w:r>
        <w:rPr>
          <w:rFonts w:hint="eastAsia"/>
          <w:lang w:val="en-US" w:eastAsia="zh-CN"/>
        </w:rPr>
        <w:t>每月</w:t>
      </w:r>
      <w:r>
        <w:rPr>
          <w:rFonts w:hint="default"/>
        </w:rPr>
        <w:t>事件及时响应率≥95%，</w:t>
      </w:r>
      <w:r>
        <w:rPr>
          <w:rFonts w:hint="eastAsia"/>
          <w:lang w:val="en-US" w:eastAsia="zh-CN"/>
        </w:rPr>
        <w:t>事件及时解决率</w:t>
      </w:r>
      <w:r>
        <w:rPr>
          <w:rFonts w:hint="default"/>
        </w:rPr>
        <w:t>≥95%。</w:t>
      </w:r>
    </w:p>
    <w:p>
      <w:pPr>
        <w:pStyle w:val="a1"/>
        <w:numPr>
          <w:ilvl w:val="0"/>
          <w:numId w:val="13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进一步加强事件记录的深度分析，开展多维度、结构化的事件数据分析工作，为运维决策和业务支持提供有效数据支撑。</w:t>
      </w:r>
    </w:p>
    <w:p>
      <w:pPr>
        <w:pStyle w:val="a1"/>
        <w:numPr>
          <w:ilvl w:val="0"/>
          <w:numId w:val="13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持续推进事件单分类模式优化，完善事件统计维度设计，提升事件数据统计的灵活性与分析粒度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38" w:name="_Toc145"/>
      <w:r>
        <w:rPr>
          <w:rFonts w:hint="eastAsia"/>
          <w:lang w:val="en-US" w:eastAsia="zh-CN"/>
        </w:rPr>
        <w:t>问题管理情况总结</w:t>
      </w:r>
      <w:bookmarkEnd w:id="38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2025年8月，问题管理工作达成预期目标，具体完成情况如下：</w:t>
      </w:r>
    </w:p>
    <w:p>
      <w:pPr>
        <w:pStyle w:val="a1"/>
        <w:numPr>
          <w:ilvl w:val="0"/>
          <w:numId w:val="14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共处理问题16起，</w:t>
      </w:r>
      <w:r>
        <w:rPr>
          <w:rFonts w:hint="eastAsia"/>
          <w:lang w:val="en-US" w:eastAsia="zh-CN"/>
        </w:rPr>
        <w:t>第一、二季度</w:t>
      </w:r>
      <w:r>
        <w:rPr>
          <w:rFonts w:hint="default"/>
        </w:rPr>
        <w:t>发生三次同类事件分析率≥90%，问题处理及时率达到100%。</w:t>
      </w:r>
    </w:p>
    <w:p>
      <w:pPr>
        <w:pStyle w:val="a1"/>
        <w:numPr>
          <w:ilvl w:val="0"/>
          <w:numId w:val="14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持续加强问题管理流程与事件管理、服务级别管理等流程的有效协同，通过机制化联动提升问题管理的整体价值与实效。</w:t>
      </w:r>
    </w:p>
    <w:p>
      <w:pPr>
        <w:pStyle w:val="a1"/>
        <w:numPr>
          <w:ilvl w:val="0"/>
          <w:numId w:val="14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积极推进问题管理流程优化，针对各项目组在问题流程执行中存在的差异与瓶颈开展持续改进，完善闭环管理机制。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39" w:name="_Toc18765"/>
      <w:r>
        <w:rPr>
          <w:rFonts w:hint="eastAsia"/>
          <w:lang w:val="en-US" w:eastAsia="zh-CN"/>
        </w:rPr>
        <w:t>变更管理情况总结</w:t>
      </w:r>
      <w:bookmarkEnd w:id="39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月，变更管理工作达成预期目标，具体完成情况如下：</w:t>
      </w:r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default"/>
        </w:rPr>
      </w:pPr>
      <w:r>
        <w:rPr>
          <w:rFonts w:hint="eastAsia"/>
          <w:lang w:val="en-US" w:eastAsia="zh-CN"/>
        </w:rPr>
        <w:t>第一季度没有进行变更，第二季度</w:t>
      </w:r>
      <w:r>
        <w:rPr>
          <w:rFonts w:hint="default"/>
        </w:rPr>
        <w:t>共执行变更4次，其中配置变更2次，应用系统变更2次，</w:t>
      </w:r>
      <w:r>
        <w:rPr>
          <w:rFonts w:hint="eastAsia"/>
          <w:lang w:val="en-US" w:eastAsia="zh-CN"/>
        </w:rPr>
        <w:t>均变更成功，变更成功率为100%</w:t>
      </w:r>
      <w:r>
        <w:rPr>
          <w:rFonts w:hint="default"/>
        </w:rPr>
        <w:t>。</w:t>
      </w:r>
      <w:r>
        <w:rPr>
          <w:rFonts w:hint="eastAsia"/>
          <w:lang w:val="en-US" w:eastAsia="zh-CN"/>
        </w:rPr>
        <w:t>第三季度变更3次，变更成功率为100%</w:t>
      </w:r>
    </w:p>
    <w:p>
      <w:pPr>
        <w:pStyle w:val="a1"/>
        <w:numPr>
          <w:ilvl w:val="0"/>
          <w:numId w:val="15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持续加强变更记录的完整性与规范性，重点强化对回退计划的质量监督与审核，确保各项变更均具备可行、可靠的恢复预案，有效规避因回退计划缺失或不足导致的运维风险。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40" w:name="_Toc27025"/>
      <w:r>
        <w:rPr>
          <w:rFonts w:hint="eastAsia"/>
          <w:lang w:val="en-US" w:eastAsia="zh-CN"/>
        </w:rPr>
        <w:t>发布管理情况总结</w:t>
      </w:r>
      <w:bookmarkEnd w:id="40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10月</w:t>
      </w:r>
      <w:r>
        <w:rPr>
          <w:rFonts w:hint="default"/>
        </w:rPr>
        <w:t>发布管理工作达成预期目标，具体完成情况如下：</w:t>
      </w:r>
    </w:p>
    <w:p>
      <w:pPr>
        <w:pStyle w:val="a1"/>
        <w:bidi w:val="0"/>
        <w:rPr>
          <w:rFonts w:hint="default"/>
        </w:rPr>
      </w:pPr>
      <w:r>
        <w:rPr>
          <w:rFonts w:hint="eastAsia"/>
          <w:lang w:val="en-US" w:eastAsia="zh-CN"/>
        </w:rPr>
        <w:t>第一、二季度共</w:t>
      </w:r>
      <w:r>
        <w:rPr>
          <w:rFonts w:hint="default"/>
        </w:rPr>
        <w:t>实施4次软件版本升级发布，所有发布申请均通过审批并成功上线，发布成功率达100%，超过95%的指标体系要求，</w:t>
      </w:r>
      <w:r>
        <w:rPr>
          <w:rFonts w:hint="eastAsia"/>
          <w:lang w:val="en-US" w:eastAsia="zh-CN"/>
        </w:rPr>
        <w:t>随着系统上线第三季度进行了8次发布，均全部成功，发布成功率为100%。</w:t>
      </w:r>
      <w:r>
        <w:rPr>
          <w:rFonts w:hint="default"/>
        </w:rPr>
        <w:t>全面满足服务等级协议（SLA）相关标准。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41" w:name="_Toc9676"/>
      <w:r>
        <w:rPr>
          <w:rFonts w:hint="eastAsia"/>
          <w:lang w:val="en-US" w:eastAsia="zh-CN"/>
        </w:rPr>
        <w:t>配置管理情况总结</w:t>
      </w:r>
      <w:bookmarkEnd w:id="41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月，配置管理工作按计划推进并达成预期目标，具体完成情况如下：</w:t>
      </w:r>
    </w:p>
    <w:p>
      <w:pPr>
        <w:pStyle w:val="a1"/>
        <w:numPr>
          <w:ilvl w:val="0"/>
          <w:numId w:val="16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公司持续完善配置管理制度体系，相关要求全面落实执行。组织开展了配置数据专项审计，统计结果显示：</w:t>
      </w:r>
      <w:r>
        <w:rPr>
          <w:rFonts w:hint="eastAsia"/>
          <w:lang w:val="en-US" w:eastAsia="zh-CN"/>
        </w:rPr>
        <w:t>近半年</w:t>
      </w:r>
      <w:r>
        <w:rPr>
          <w:rFonts w:hint="default"/>
        </w:rPr>
        <w:t>各项目</w:t>
      </w:r>
      <w:r>
        <w:rPr>
          <w:rFonts w:hint="eastAsia"/>
          <w:lang w:val="en-US" w:eastAsia="zh-CN"/>
        </w:rPr>
        <w:t>配置管理准确率</w:t>
      </w:r>
      <w:r>
        <w:rPr>
          <w:rFonts w:hint="default"/>
        </w:rPr>
        <w:t>不低于9</w:t>
      </w:r>
      <w:r>
        <w:rPr>
          <w:rFonts w:hint="eastAsia"/>
          <w:lang w:val="en-US" w:eastAsia="zh-CN"/>
        </w:rPr>
        <w:t>5</w:t>
      </w:r>
      <w:r>
        <w:rPr>
          <w:rFonts w:hint="default"/>
        </w:rPr>
        <w:t>%，各项指标均符合既定要求。</w:t>
      </w:r>
    </w:p>
    <w:p>
      <w:pPr>
        <w:pStyle w:val="a1"/>
        <w:numPr>
          <w:ilvl w:val="0"/>
          <w:numId w:val="16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通过强化数据维护与审核机制，有效保障了配置库数据的准确性与可靠性，为运维服务提供坚实的数据基础。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42" w:name="_Toc13493"/>
      <w:r>
        <w:rPr>
          <w:rFonts w:hint="eastAsia"/>
          <w:lang w:val="en-US" w:eastAsia="zh-CN"/>
        </w:rPr>
        <w:t>服务可用性和连续性管理情况总结</w:t>
      </w:r>
      <w:bookmarkEnd w:id="42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月，服务可用性与连续性管理持续强化，主要工作成果如下：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系统监控体系进一步完善，系统可用率稳定在9</w:t>
      </w:r>
      <w:r>
        <w:rPr>
          <w:rFonts w:hint="eastAsia"/>
          <w:lang w:val="en-US" w:eastAsia="zh-CN"/>
        </w:rPr>
        <w:t>9</w:t>
      </w:r>
      <w:r>
        <w:rPr>
          <w:rFonts w:hint="default"/>
        </w:rPr>
        <w:t>%以上。平台故障反馈入口持续优化，确保用户能够快速、便捷地进行故障上报。7×24小时故障响应团队有效运转，保障了突发事件的及时响应与处置。</w:t>
      </w:r>
    </w:p>
    <w:p>
      <w:pPr>
        <w:pStyle w:val="a1"/>
        <w:bidi w:val="0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通过使用监控工具，没有发生服务中断，系统运行稳定。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bookmarkStart w:id="43" w:name="_Toc11544"/>
      <w:bookmarkStart w:id="44" w:name="_GoBack"/>
      <w:bookmarkEnd w:id="44"/>
      <w:r>
        <w:rPr>
          <w:rFonts w:hint="eastAsia"/>
          <w:lang w:val="en-US" w:eastAsia="zh-CN"/>
        </w:rPr>
        <w:t>容量管理情况总结</w:t>
      </w:r>
      <w:bookmarkEnd w:id="43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月，系统容量管理持续开展精细化运营，主要工作情况如下：</w:t>
      </w:r>
    </w:p>
    <w:p>
      <w:pPr>
        <w:pStyle w:val="a1"/>
        <w:bidi w:val="0"/>
        <w:rPr>
          <w:rFonts w:hint="default"/>
        </w:rPr>
      </w:pPr>
      <w:r>
        <w:rPr>
          <w:rFonts w:hint="default"/>
        </w:rPr>
        <w:t>持续对潜在容量风险进行监控与分析，完善事件预案及处置流程记录机制。按计划组织召开容量分析会议，总结阶段性经验并优化管理策略与流程。未发生因容量原因导致的事件。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45" w:name="_Toc17605"/>
      <w:r>
        <w:rPr>
          <w:rFonts w:hint="eastAsia"/>
          <w:lang w:val="en-US" w:eastAsia="zh-CN"/>
        </w:rPr>
        <w:t>信息安全管理总结</w:t>
      </w:r>
      <w:bookmarkEnd w:id="45"/>
    </w:p>
    <w:p>
      <w:pPr>
        <w:pStyle w:val="a1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10</w:t>
      </w:r>
      <w:r>
        <w:rPr>
          <w:rFonts w:hint="default"/>
        </w:rPr>
        <w:t>月，信息安全管理工作有效推进，主要完成以下工作：</w:t>
      </w:r>
    </w:p>
    <w:p>
      <w:pPr>
        <w:pStyle w:val="a1"/>
        <w:numPr>
          <w:ilvl w:val="0"/>
          <w:numId w:val="17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未发生客户信息泄露事件，未出现信息安全事故导致的客户投诉，各项指标符合运维服务能力管理要求；</w:t>
      </w:r>
    </w:p>
    <w:p>
      <w:pPr>
        <w:pStyle w:val="a1"/>
        <w:numPr>
          <w:ilvl w:val="0"/>
          <w:numId w:val="17"/>
        </w:numPr>
        <w:bidi w:val="0"/>
        <w:ind w:left="425" w:hanging="425" w:leftChars="0" w:firstLineChars="0"/>
        <w:rPr>
          <w:rFonts w:hint="default"/>
        </w:rPr>
      </w:pPr>
      <w:r>
        <w:rPr>
          <w:rFonts w:hint="default"/>
        </w:rPr>
        <w:t>系统推进信息安全防护工具使用培训，强化项目组成员实操能力与风险防控水平，从源头防范因技能不足引发的安全隐患；组织开展最新安全法规及管理制度专项培训，全面提升全员安全意识和合规操作能力。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6" w:name="_Toc27310"/>
      <w:r>
        <w:rPr>
          <w:rFonts w:hint="eastAsia"/>
          <w:lang w:val="en-US" w:eastAsia="zh-CN"/>
        </w:rPr>
        <w:t>交付管理情况总结</w:t>
      </w:r>
      <w:bookmarkEnd w:id="4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月，公司持续推进服务交付管理制度的优化与实施工作。依据既定交付管理制度及SLA要求，结合客户需求分析，制定了相应的交付方案并严格按方案执行，确保各项交付记录按时完成。统计显示，</w:t>
      </w:r>
      <w:r>
        <w:rPr>
          <w:rFonts w:hint="eastAsia"/>
          <w:lang w:val="en-US" w:eastAsia="zh-CN"/>
        </w:rPr>
        <w:t>所有项目的服务报告俊按时提交，</w:t>
      </w:r>
      <w:r>
        <w:t>指标均达到目标要求。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7" w:name="_Toc9170"/>
      <w:r>
        <w:rPr>
          <w:rFonts w:hint="eastAsia"/>
          <w:lang w:val="en-US" w:eastAsia="zh-CN"/>
        </w:rPr>
        <w:t>应急管理情况总结</w:t>
      </w:r>
      <w:bookmarkEnd w:id="4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10</w:t>
      </w:r>
      <w:r>
        <w:t>月，公司持续完善应急响应管理体系，严格依据《</w:t>
      </w:r>
      <w:r>
        <w:rPr>
          <w:rFonts w:hint="eastAsia"/>
          <w:lang w:val="en-US" w:eastAsia="zh-CN"/>
        </w:rPr>
        <w:t>组织级</w:t>
      </w:r>
      <w:r>
        <w:t>应急管理制度》及《运维服务能力管理</w:t>
      </w:r>
      <w:r>
        <w:rPr>
          <w:rFonts w:hint="eastAsia"/>
          <w:lang w:val="en-US" w:eastAsia="zh-CN"/>
        </w:rPr>
        <w:t>计划</w:t>
      </w:r>
      <w:r>
        <w:t>》开展各项工作。有效落实应急响应机制，健全应急响应组织，优化应急预案内容，并针对各运维项目制定了相应的应急管理</w:t>
      </w:r>
      <w:r>
        <w:rPr>
          <w:rFonts w:hint="eastAsia"/>
          <w:lang w:val="en-US" w:eastAsia="zh-CN"/>
        </w:rPr>
        <w:t>制度</w:t>
      </w:r>
      <w:r>
        <w:t>。组织完成专项应急演练，应急预案覆盖率和及时响应率均达到既定目标要求。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48" w:name="_Toc25277"/>
      <w:r>
        <w:rPr>
          <w:rFonts w:hint="eastAsia"/>
          <w:lang w:val="en-US" w:eastAsia="zh-CN"/>
        </w:rPr>
        <w:t>质量管理情况总结</w:t>
      </w:r>
      <w:bookmarkEnd w:id="48"/>
    </w:p>
    <w:p>
      <w:pPr>
        <w:pStyle w:val="3"/>
        <w:bidi w:val="0"/>
        <w:rPr>
          <w:rFonts w:hint="eastAsia"/>
          <w:lang w:val="en-US" w:eastAsia="zh-CN"/>
        </w:rPr>
      </w:pPr>
      <w:bookmarkStart w:id="49" w:name="_Toc26153"/>
      <w:r>
        <w:rPr>
          <w:rFonts w:hint="eastAsia"/>
          <w:lang w:val="en-US" w:eastAsia="zh-CN"/>
        </w:rPr>
        <w:t>运维服务质量内部审核情况总结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在2025年10月进行了一次内部审核，发现了一个不符合项，为一般不符合，已经由相关人员进行改正，质量部进行确认。所有运维相关部门均参与内审，内审覆盖率为100%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0" w:name="_Toc24010"/>
      <w:r>
        <w:rPr>
          <w:rFonts w:hint="eastAsia"/>
          <w:lang w:val="en-US" w:eastAsia="zh-CN"/>
        </w:rPr>
        <w:t>运维服务质量管理评审情况总结</w:t>
      </w:r>
      <w:bookmarkEnd w:id="50"/>
    </w:p>
    <w:p>
      <w:pPr>
        <w:pStyle w:val="a1"/>
        <w:bidi w:val="0"/>
        <w:rPr>
          <w:rFonts w:hint="default"/>
          <w:lang w:val="en-US" w:eastAsia="zh-CN"/>
        </w:rPr>
      </w:pPr>
      <w:r>
        <w:t>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</w:t>
      </w:r>
      <w:r>
        <w:t>月</w:t>
      </w:r>
      <w:r>
        <w:rPr>
          <w:rFonts w:hint="eastAsia"/>
          <w:lang w:val="en-US" w:eastAsia="zh-CN"/>
        </w:rPr>
        <w:t>20日</w:t>
      </w:r>
      <w:r>
        <w:t>进行</w:t>
      </w:r>
      <w:r>
        <w:rPr>
          <w:rFonts w:hint="eastAsia"/>
          <w:lang w:val="en-US" w:eastAsia="zh-CN"/>
        </w:rPr>
        <w:t>管评工作。</w:t>
      </w:r>
      <w:r>
        <w:t>全面的总结了公司运维能力体系的运行情况，肯定了2025年质量管理体系运行的适宜性、有效性。通过这次管理评审，总结了经验，将更有力的推动公司持续发展。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51" w:name="_Toc27109"/>
      <w:r>
        <w:rPr>
          <w:rFonts w:hint="eastAsia"/>
          <w:lang w:val="en-US" w:eastAsia="zh-CN"/>
        </w:rPr>
        <w:t>客户满意度调查及分析情况总结</w:t>
      </w:r>
      <w:bookmarkEnd w:id="51"/>
    </w:p>
    <w:p>
      <w:pPr>
        <w:pStyle w:val="a1"/>
        <w:bidi w:val="0"/>
      </w:pPr>
      <w:r>
        <w:t>对已统计的用户满意度调查问卷结果进行分析，</w:t>
      </w:r>
      <w:r>
        <w:rPr>
          <w:rFonts w:hint="eastAsia"/>
          <w:lang w:val="en-US" w:eastAsia="zh-CN"/>
        </w:rPr>
        <w:t>截至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10月</w:t>
      </w:r>
      <w:r>
        <w:t>运维服务业务总体的客户满意度平均分为</w:t>
      </w:r>
      <w:r>
        <w:rPr>
          <w:rFonts w:hint="eastAsia"/>
          <w:lang w:val="en-US" w:eastAsia="zh-CN"/>
        </w:rPr>
        <w:t>95</w:t>
      </w:r>
      <w:r>
        <w:t>分，通过调查分数以及客户提出的改进意见，质量部</w:t>
      </w:r>
      <w:r>
        <w:t>发现运维服务过程中有提高的空间。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52" w:name="_Toc17039"/>
      <w:r>
        <w:rPr>
          <w:rFonts w:hint="eastAsia"/>
          <w:lang w:val="en-US" w:eastAsia="zh-CN"/>
        </w:rPr>
        <w:t>服务能力改进情况总结</w:t>
      </w:r>
      <w:bookmarkEnd w:id="52"/>
    </w:p>
    <w:p>
      <w:pPr>
        <w:pStyle w:val="a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针对内部审核发现的不符合项，有计划性的进行培训。针对客户提出的改进意见积极归纳总结。</w:t>
      </w:r>
    </w:p>
    <w:p>
      <w:pPr>
        <w:pStyle w:val="1"/>
        <w:bidi w:val="0"/>
        <w:rPr>
          <w:rStyle w:val="1Char"/>
          <w:rFonts w:eastAsia="宋体" w:hint="default"/>
          <w:lang w:val="en-US" w:eastAsia="zh-CN"/>
        </w:rPr>
      </w:pPr>
      <w:bookmarkStart w:id="53" w:name="bookmark3"/>
      <w:bookmarkEnd w:id="53"/>
      <w:bookmarkStart w:id="54" w:name="_Toc17424"/>
      <w:bookmarkStart w:id="55" w:name="_Toc32723"/>
      <w:r>
        <w:rPr>
          <w:rStyle w:val="1Char"/>
          <w:rFonts w:eastAsia="宋体" w:hint="eastAsia"/>
          <w:lang w:val="en-US" w:eastAsia="zh-CN"/>
        </w:rPr>
        <w:t>附则</w:t>
      </w:r>
      <w:bookmarkEnd w:id="54"/>
      <w:bookmarkEnd w:id="55"/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rPr>
          <w:rFonts w:hint="eastAsia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报告</w:t>
      </w:r>
      <w:r>
        <w:rPr>
          <w:rFonts w:ascii="宋体" w:eastAsia="宋体" w:hAnsi="宋体" w:cs="宋体"/>
          <w:spacing w:val="-1"/>
          <w:sz w:val="24"/>
          <w:szCs w:val="24"/>
        </w:rPr>
        <w:t>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  <w:bookmarkStart w:id="56" w:name="bookmark14"/>
      <w:bookmarkEnd w:id="56"/>
    </w:p>
    <w:sectPr>
      <w:headerReference w:type="default" r:id="rId19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4F9F783"/>
    <w:multiLevelType w:val="singleLevel"/>
    <w:tmpl w:val="84F9F783"/>
    <w:lvl w:ilvl="0">
      <w:start w:val="1"/>
      <w:numFmt w:val="decimal"/>
      <w:suff w:val="space"/>
      <w:lvlText w:val="%1."/>
      <w:lvlJc w:val="left"/>
    </w:lvl>
  </w:abstractNum>
  <w:abstractNum w:abstractNumId="1">
    <w:nsid w:val="87E7EBE7"/>
    <w:multiLevelType w:val="singleLevel"/>
    <w:tmpl w:val="87E7EBE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9032951E"/>
    <w:multiLevelType w:val="singleLevel"/>
    <w:tmpl w:val="9032951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993C05C7"/>
    <w:multiLevelType w:val="singleLevel"/>
    <w:tmpl w:val="993C05C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6C4A339"/>
    <w:multiLevelType w:val="singleLevel"/>
    <w:tmpl w:val="B6C4A33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7628C6B"/>
    <w:multiLevelType w:val="singleLevel"/>
    <w:tmpl w:val="B7628C6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759F1A5"/>
    <w:multiLevelType w:val="singleLevel"/>
    <w:tmpl w:val="C759F1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30144B1"/>
    <w:multiLevelType w:val="singleLevel"/>
    <w:tmpl w:val="230144B1"/>
    <w:lvl w:ilvl="0">
      <w:start w:val="1"/>
      <w:numFmt w:val="decimal"/>
      <w:suff w:val="space"/>
      <w:lvlText w:val="%1."/>
      <w:lvlJc w:val="left"/>
    </w:lvl>
  </w:abstractNum>
  <w:abstractNum w:abstractNumId="9">
    <w:nsid w:val="327173FB"/>
    <w:multiLevelType w:val="singleLevel"/>
    <w:tmpl w:val="327173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667DD03"/>
    <w:multiLevelType w:val="singleLevel"/>
    <w:tmpl w:val="3667DD03"/>
    <w:lvl w:ilvl="0">
      <w:start w:val="1"/>
      <w:numFmt w:val="decimal"/>
      <w:suff w:val="space"/>
      <w:lvlText w:val="%1."/>
      <w:lvlJc w:val="left"/>
    </w:lvl>
  </w:abstractNum>
  <w:abstractNum w:abstractNumId="11">
    <w:nsid w:val="4199DF76"/>
    <w:multiLevelType w:val="singleLevel"/>
    <w:tmpl w:val="4199DF7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4EF89E65"/>
    <w:multiLevelType w:val="singleLevel"/>
    <w:tmpl w:val="4EF89E6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62F5956"/>
    <w:multiLevelType w:val="singleLevel"/>
    <w:tmpl w:val="562F595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7E59E5B"/>
    <w:multiLevelType w:val="singleLevel"/>
    <w:tmpl w:val="77E59E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C911AA6"/>
    <w:multiLevelType w:val="singleLevel"/>
    <w:tmpl w:val="7C911A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7CB0EA2D"/>
    <w:multiLevelType w:val="singleLevel"/>
    <w:tmpl w:val="7CB0EA2D"/>
    <w:lvl w:ilvl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14"/>
  </w:num>
  <w:num w:numId="5">
    <w:abstractNumId w:val="10"/>
  </w:num>
  <w:num w:numId="6">
    <w:abstractNumId w:val="8"/>
  </w:num>
  <w:num w:numId="7">
    <w:abstractNumId w:val="0"/>
  </w:num>
  <w:num w:numId="8">
    <w:abstractNumId w:val="11"/>
  </w:num>
  <w:num w:numId="9">
    <w:abstractNumId w:val="16"/>
  </w:num>
  <w:num w:numId="10">
    <w:abstractNumId w:val="6"/>
  </w:num>
  <w:num w:numId="11">
    <w:abstractNumId w:val="12"/>
  </w:num>
  <w:num w:numId="12">
    <w:abstractNumId w:val="15"/>
  </w:num>
  <w:num w:numId="13">
    <w:abstractNumId w:val="7"/>
  </w:num>
  <w:num w:numId="14">
    <w:abstractNumId w:val="5"/>
  </w:num>
  <w:num w:numId="15">
    <w:abstractNumId w:val="4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header" Target="header1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5036</Words>
  <Characters>5665</Characters>
  <Application>Microsoft Office Word</Application>
  <DocSecurity>0</DocSecurity>
  <Lines>0</Lines>
  <Paragraphs>0</Paragraphs>
  <ScaleCrop>false</ScaleCrop>
  <Company/>
  <LinksUpToDate>false</LinksUpToDate>
  <CharactersWithSpaces>5846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2025-12-15T03:57:48Z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B37FE4BF1B7D48229AAEA75AF5C0A59B_13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