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bookmarkStart w:id="0" w:name="_Toc30907"/>
      <w:r>
        <w:rPr>
          <w:rFonts w:hint="eastAsia"/>
          <w:lang w:val="en-US" w:eastAsia="zh-CN"/>
        </w:rPr>
        <w:t>天津市华夏电缆有限公司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default"/>
          <w:lang w:val="en-US" w:eastAsia="zh-CN"/>
        </w:rPr>
      </w:pPr>
      <w:bookmarkStart w:id="1" w:name="_Toc5328"/>
      <w:r>
        <w:rPr>
          <w:rFonts w:hint="eastAsia"/>
          <w:lang w:val="en-US" w:eastAsia="zh-CN"/>
        </w:rPr>
        <w:t>内部审核程序</w:t>
      </w:r>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bookmarkStart w:id="2" w:name="_Toc10051"/>
      <w:r>
        <w:rPr>
          <w:rFonts w:hint="eastAsia"/>
          <w:lang w:val="en-US" w:eastAsia="zh-CN"/>
        </w:rPr>
        <w:t>（HXDL-ITSS-0401）</w:t>
      </w:r>
      <w:bookmarkEnd w:id="2"/>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刘鑫楠</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bookmarkStart w:id="3" w:name="_Toc22345"/>
      <w:r>
        <w:rPr>
          <w:rFonts w:ascii="宋体" w:eastAsia="宋体" w:hAnsi="宋体" w:cs="宋体"/>
          <w:b/>
          <w:bCs/>
          <w:spacing w:val="-4"/>
          <w:sz w:val="30"/>
          <w:szCs w:val="30"/>
        </w:rPr>
        <w:t>文件编制和变更履历</w:t>
      </w:r>
      <w:bookmarkEnd w:id="3"/>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刘鑫楠</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eastAsia="宋体" w:hAnsi="宋体" w:cs="Arial"/>
          <w:snapToGrid w:val="0"/>
          <w:color w:val="000000"/>
          <w:kern w:val="0"/>
          <w:sz w:val="21"/>
          <w:szCs w:val="21"/>
          <w:lang w:val="en-US" w:eastAsia="en-US" w:bidi="ar-SA"/>
        </w:rPr>
        <w:id w:val="147472464"/>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bookmarkStart w:id="4" w:name="_GoBack"/>
          <w:bookmarkEnd w:id="4"/>
          <w:r>
            <w:fldChar w:fldCharType="begin"/>
          </w:r>
          <w:r>
            <w:instrText xml:space="preserve">TOC \o "1-3" \h \u </w:instrText>
          </w:r>
          <w:r>
            <w:fldChar w:fldCharType="separate"/>
          </w:r>
          <w:r>
            <w:fldChar w:fldCharType="begin"/>
          </w:r>
          <w:r>
            <w:instrText xml:space="preserve"> HYPERLINK \l _Toc30907 </w:instrText>
          </w:r>
          <w:r>
            <w:fldChar w:fldCharType="separate"/>
          </w:r>
          <w:r>
            <w:rPr>
              <w:rFonts w:hint="eastAsia"/>
              <w:lang w:val="en-US" w:eastAsia="zh-CN"/>
            </w:rPr>
            <w:t>天津市华夏电缆有限公司</w:t>
          </w:r>
          <w:r>
            <w:tab/>
          </w:r>
          <w:r>
            <w:fldChar w:fldCharType="begin"/>
          </w:r>
          <w:r>
            <w:instrText xml:space="preserve"> PAGEREF _Toc30907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_Toc5328 </w:instrText>
          </w:r>
          <w:r>
            <w:fldChar w:fldCharType="separate"/>
          </w:r>
          <w:r>
            <w:rPr>
              <w:rFonts w:hint="eastAsia"/>
              <w:lang w:val="en-US" w:eastAsia="zh-CN"/>
            </w:rPr>
            <w:t>内部审核程序</w:t>
          </w:r>
          <w:r>
            <w:tab/>
          </w:r>
          <w:r>
            <w:fldChar w:fldCharType="begin"/>
          </w:r>
          <w:r>
            <w:instrText xml:space="preserve"> PAGEREF _Toc5328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_Toc10051 </w:instrText>
          </w:r>
          <w:r>
            <w:fldChar w:fldCharType="separate"/>
          </w:r>
          <w:r>
            <w:rPr>
              <w:rFonts w:hint="eastAsia"/>
              <w:lang w:val="en-US" w:eastAsia="zh-CN"/>
            </w:rPr>
            <w:t>（HXDL-ITSS-0401）</w:t>
          </w:r>
          <w:r>
            <w:tab/>
          </w:r>
          <w:r>
            <w:fldChar w:fldCharType="begin"/>
          </w:r>
          <w:r>
            <w:instrText xml:space="preserve"> PAGEREF _Toc10051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_Toc22345 </w:instrText>
          </w:r>
          <w:r>
            <w:fldChar w:fldCharType="separate"/>
          </w:r>
          <w:r>
            <w:rPr>
              <w:rFonts w:ascii="宋体" w:eastAsia="宋体" w:hAnsi="宋体" w:cs="宋体"/>
              <w:bCs/>
              <w:spacing w:val="-4"/>
              <w:szCs w:val="30"/>
            </w:rPr>
            <w:t>文件编制和变更履历</w:t>
          </w:r>
          <w:r>
            <w:tab/>
          </w:r>
          <w:r>
            <w:fldChar w:fldCharType="begin"/>
          </w:r>
          <w:r>
            <w:instrText xml:space="preserve"> PAGEREF _Toc22345 \h </w:instrText>
          </w:r>
          <w:r>
            <w:fldChar w:fldCharType="separate"/>
          </w:r>
          <w:r>
            <w:t>2</w:t>
          </w:r>
          <w:r>
            <w:fldChar w:fldCharType="end"/>
          </w:r>
          <w:r>
            <w:fldChar w:fldCharType="end"/>
          </w:r>
        </w:p>
        <w:p>
          <w:pPr>
            <w:pStyle w:val="TOC1"/>
            <w:tabs>
              <w:tab w:val="right" w:leader="dot" w:pos="8306"/>
            </w:tabs>
          </w:pPr>
          <w:r>
            <w:fldChar w:fldCharType="begin"/>
          </w:r>
          <w:r>
            <w:instrText xml:space="preserve"> HYPERLINK \l _Toc32455 </w:instrText>
          </w:r>
          <w:r>
            <w:fldChar w:fldCharType="separate"/>
          </w:r>
          <w:r>
            <w:rPr>
              <w:rFonts w:hint="default"/>
              <w:lang w:val="en-US" w:eastAsia="zh-CN"/>
            </w:rPr>
            <w:t>1. 概述</w:t>
          </w:r>
          <w:r>
            <w:tab/>
          </w:r>
          <w:r>
            <w:fldChar w:fldCharType="begin"/>
          </w:r>
          <w:r>
            <w:instrText xml:space="preserve"> PAGEREF _Toc32455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_Toc22666 </w:instrText>
          </w:r>
          <w:r>
            <w:fldChar w:fldCharType="separate"/>
          </w:r>
          <w:r>
            <w:rPr>
              <w:rFonts w:hint="default"/>
              <w:lang w:val="en-US" w:eastAsia="zh-CN"/>
            </w:rPr>
            <w:t>1.1. 目的</w:t>
          </w:r>
          <w:r>
            <w:tab/>
          </w:r>
          <w:r>
            <w:fldChar w:fldCharType="begin"/>
          </w:r>
          <w:r>
            <w:instrText xml:space="preserve"> PAGEREF _Toc22666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_Toc13754 </w:instrText>
          </w:r>
          <w:r>
            <w:fldChar w:fldCharType="separate"/>
          </w:r>
          <w:r>
            <w:rPr>
              <w:rFonts w:hint="default"/>
              <w:lang w:val="en-US" w:eastAsia="zh-CN"/>
            </w:rPr>
            <w:t>1.2. 适用范围</w:t>
          </w:r>
          <w:r>
            <w:tab/>
          </w:r>
          <w:r>
            <w:fldChar w:fldCharType="begin"/>
          </w:r>
          <w:r>
            <w:instrText xml:space="preserve"> PAGEREF _Toc13754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_Toc3377 </w:instrText>
          </w:r>
          <w:r>
            <w:fldChar w:fldCharType="separate"/>
          </w:r>
          <w:r>
            <w:rPr>
              <w:rFonts w:hint="default"/>
              <w:lang w:val="en-US" w:eastAsia="zh-CN"/>
            </w:rPr>
            <w:t>1.3. 职责</w:t>
          </w:r>
          <w:r>
            <w:tab/>
          </w:r>
          <w:r>
            <w:fldChar w:fldCharType="begin"/>
          </w:r>
          <w:r>
            <w:instrText xml:space="preserve"> PAGEREF _Toc3377 \h </w:instrText>
          </w:r>
          <w:r>
            <w:fldChar w:fldCharType="separate"/>
          </w:r>
          <w:r>
            <w:t>4</w:t>
          </w:r>
          <w:r>
            <w:fldChar w:fldCharType="end"/>
          </w:r>
          <w:r>
            <w:fldChar w:fldCharType="end"/>
          </w:r>
        </w:p>
        <w:p>
          <w:pPr>
            <w:pStyle w:val="TOC3"/>
            <w:tabs>
              <w:tab w:val="right" w:leader="dot" w:pos="8306"/>
            </w:tabs>
          </w:pPr>
          <w:r>
            <w:fldChar w:fldCharType="begin"/>
          </w:r>
          <w:r>
            <w:instrText xml:space="preserve"> HYPERLINK \l _Toc28266 </w:instrText>
          </w:r>
          <w:r>
            <w:fldChar w:fldCharType="separate"/>
          </w:r>
          <w:r>
            <w:rPr>
              <w:rFonts w:hint="default"/>
              <w:lang w:val="en-US" w:eastAsia="zh-CN"/>
            </w:rPr>
            <w:t>1.3.1. 总经理</w:t>
          </w:r>
          <w:r>
            <w:tab/>
          </w:r>
          <w:r>
            <w:fldChar w:fldCharType="begin"/>
          </w:r>
          <w:r>
            <w:instrText xml:space="preserve"> PAGEREF _Toc28266 \h </w:instrText>
          </w:r>
          <w:r>
            <w:fldChar w:fldCharType="separate"/>
          </w:r>
          <w:r>
            <w:t>4</w:t>
          </w:r>
          <w:r>
            <w:fldChar w:fldCharType="end"/>
          </w:r>
          <w:r>
            <w:fldChar w:fldCharType="end"/>
          </w:r>
        </w:p>
        <w:p>
          <w:pPr>
            <w:pStyle w:val="TOC3"/>
            <w:tabs>
              <w:tab w:val="right" w:leader="dot" w:pos="8306"/>
            </w:tabs>
          </w:pPr>
          <w:r>
            <w:fldChar w:fldCharType="begin"/>
          </w:r>
          <w:r>
            <w:instrText xml:space="preserve"> HYPERLINK \l _Toc13776 </w:instrText>
          </w:r>
          <w:r>
            <w:fldChar w:fldCharType="separate"/>
          </w:r>
          <w:r>
            <w:rPr>
              <w:rFonts w:hint="default"/>
              <w:lang w:val="en-US" w:eastAsia="zh-CN"/>
            </w:rPr>
            <w:t>1.3.2. 管理者代表</w:t>
          </w:r>
          <w:r>
            <w:tab/>
          </w:r>
          <w:r>
            <w:fldChar w:fldCharType="begin"/>
          </w:r>
          <w:r>
            <w:instrText xml:space="preserve"> PAGEREF _Toc13776 \h </w:instrText>
          </w:r>
          <w:r>
            <w:fldChar w:fldCharType="separate"/>
          </w:r>
          <w:r>
            <w:t>4</w:t>
          </w:r>
          <w:r>
            <w:fldChar w:fldCharType="end"/>
          </w:r>
          <w:r>
            <w:fldChar w:fldCharType="end"/>
          </w:r>
        </w:p>
        <w:p>
          <w:pPr>
            <w:pStyle w:val="TOC3"/>
            <w:tabs>
              <w:tab w:val="right" w:leader="dot" w:pos="8306"/>
            </w:tabs>
          </w:pPr>
          <w:r>
            <w:fldChar w:fldCharType="begin"/>
          </w:r>
          <w:r>
            <w:instrText xml:space="preserve"> HYPERLINK \l _Toc30877 </w:instrText>
          </w:r>
          <w:r>
            <w:fldChar w:fldCharType="separate"/>
          </w:r>
          <w:r>
            <w:rPr>
              <w:rFonts w:hint="default"/>
              <w:lang w:val="en-US" w:eastAsia="zh-CN"/>
            </w:rPr>
            <w:t>1.3.3. 质量部</w:t>
          </w:r>
          <w:r>
            <w:tab/>
          </w:r>
          <w:r>
            <w:fldChar w:fldCharType="begin"/>
          </w:r>
          <w:r>
            <w:instrText xml:space="preserve"> PAGEREF _Toc30877 \h </w:instrText>
          </w:r>
          <w:r>
            <w:fldChar w:fldCharType="separate"/>
          </w:r>
          <w:r>
            <w:t>4</w:t>
          </w:r>
          <w:r>
            <w:fldChar w:fldCharType="end"/>
          </w:r>
          <w:r>
            <w:fldChar w:fldCharType="end"/>
          </w:r>
        </w:p>
        <w:p>
          <w:pPr>
            <w:pStyle w:val="TOC3"/>
            <w:tabs>
              <w:tab w:val="right" w:leader="dot" w:pos="8306"/>
            </w:tabs>
          </w:pPr>
          <w:r>
            <w:fldChar w:fldCharType="begin"/>
          </w:r>
          <w:r>
            <w:instrText xml:space="preserve"> HYPERLINK \l _Toc5805 </w:instrText>
          </w:r>
          <w:r>
            <w:fldChar w:fldCharType="separate"/>
          </w:r>
          <w:r>
            <w:rPr>
              <w:rFonts w:hint="default"/>
              <w:lang w:val="en-US" w:eastAsia="zh-CN"/>
            </w:rPr>
            <w:t>1.3.4. 审核组长</w:t>
          </w:r>
          <w:r>
            <w:tab/>
          </w:r>
          <w:r>
            <w:fldChar w:fldCharType="begin"/>
          </w:r>
          <w:r>
            <w:instrText xml:space="preserve"> PAGEREF _Toc5805 \h </w:instrText>
          </w:r>
          <w:r>
            <w:fldChar w:fldCharType="separate"/>
          </w:r>
          <w:r>
            <w:t>4</w:t>
          </w:r>
          <w:r>
            <w:fldChar w:fldCharType="end"/>
          </w:r>
          <w:r>
            <w:fldChar w:fldCharType="end"/>
          </w:r>
        </w:p>
        <w:p>
          <w:pPr>
            <w:pStyle w:val="TOC3"/>
            <w:tabs>
              <w:tab w:val="right" w:leader="dot" w:pos="8306"/>
            </w:tabs>
          </w:pPr>
          <w:r>
            <w:fldChar w:fldCharType="begin"/>
          </w:r>
          <w:r>
            <w:instrText xml:space="preserve"> HYPERLINK \l _Toc13511 </w:instrText>
          </w:r>
          <w:r>
            <w:fldChar w:fldCharType="separate"/>
          </w:r>
          <w:r>
            <w:rPr>
              <w:rFonts w:hint="default"/>
              <w:lang w:val="en-US" w:eastAsia="zh-CN"/>
            </w:rPr>
            <w:t xml:space="preserve">1.3.5. </w:t>
          </w:r>
          <w:r>
            <w:rPr>
              <w:rFonts w:hint="eastAsia"/>
              <w:lang w:val="en-US" w:eastAsia="zh-CN"/>
            </w:rPr>
            <w:t>其他运维相关部门</w:t>
          </w:r>
          <w:r>
            <w:tab/>
          </w:r>
          <w:r>
            <w:fldChar w:fldCharType="begin"/>
          </w:r>
          <w:r>
            <w:instrText xml:space="preserve"> PAGEREF _Toc13511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_Toc11914 </w:instrText>
          </w:r>
          <w:r>
            <w:fldChar w:fldCharType="separate"/>
          </w:r>
          <w:r>
            <w:rPr>
              <w:rFonts w:hint="default"/>
              <w:lang w:val="en-US" w:eastAsia="zh-CN"/>
            </w:rPr>
            <w:t>2. 制定年度内审计划</w:t>
          </w:r>
          <w:r>
            <w:tab/>
          </w:r>
          <w:r>
            <w:fldChar w:fldCharType="begin"/>
          </w:r>
          <w:r>
            <w:instrText xml:space="preserve"> PAGEREF _Toc11914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_Toc20031 </w:instrText>
          </w:r>
          <w:r>
            <w:fldChar w:fldCharType="separate"/>
          </w:r>
          <w:r>
            <w:rPr>
              <w:rFonts w:hint="default"/>
              <w:lang w:val="en-US" w:eastAsia="zh-CN"/>
            </w:rPr>
            <w:t>3. 内审流程</w:t>
          </w:r>
          <w:r>
            <w:tab/>
          </w:r>
          <w:r>
            <w:fldChar w:fldCharType="begin"/>
          </w:r>
          <w:r>
            <w:instrText xml:space="preserve"> PAGEREF _Toc20031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_Toc27797 </w:instrText>
          </w:r>
          <w:r>
            <w:fldChar w:fldCharType="separate"/>
          </w:r>
          <w:r>
            <w:rPr>
              <w:rFonts w:hint="default"/>
              <w:lang w:val="en-US" w:eastAsia="zh-CN"/>
            </w:rPr>
            <w:t>3.1. 启动内审</w:t>
          </w:r>
          <w:r>
            <w:tab/>
          </w:r>
          <w:r>
            <w:fldChar w:fldCharType="begin"/>
          </w:r>
          <w:r>
            <w:instrText xml:space="preserve"> PAGEREF _Toc27797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_Toc27621 </w:instrText>
          </w:r>
          <w:r>
            <w:fldChar w:fldCharType="separate"/>
          </w:r>
          <w:r>
            <w:rPr>
              <w:rFonts w:hint="default"/>
              <w:lang w:val="en-US" w:eastAsia="zh-CN"/>
            </w:rPr>
            <w:t>3.1.1. 确定内审组成员</w:t>
          </w:r>
          <w:r>
            <w:tab/>
          </w:r>
          <w:r>
            <w:fldChar w:fldCharType="begin"/>
          </w:r>
          <w:r>
            <w:instrText xml:space="preserve"> PAGEREF _Toc27621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_Toc9968 </w:instrText>
          </w:r>
          <w:r>
            <w:fldChar w:fldCharType="separate"/>
          </w:r>
          <w:r>
            <w:rPr>
              <w:rFonts w:hint="default"/>
              <w:lang w:val="en-US" w:eastAsia="zh-CN"/>
            </w:rPr>
            <w:t>3.1.2. 准备内审计划</w:t>
          </w:r>
          <w:r>
            <w:tab/>
          </w:r>
          <w:r>
            <w:fldChar w:fldCharType="begin"/>
          </w:r>
          <w:r>
            <w:instrText xml:space="preserve"> PAGEREF _Toc9968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_Toc13067 </w:instrText>
          </w:r>
          <w:r>
            <w:fldChar w:fldCharType="separate"/>
          </w:r>
          <w:r>
            <w:rPr>
              <w:rFonts w:hint="default"/>
              <w:lang w:val="en-US" w:eastAsia="zh-CN"/>
            </w:rPr>
            <w:t>3.1.3. 通知被审核部门</w:t>
          </w:r>
          <w:r>
            <w:tab/>
          </w:r>
          <w:r>
            <w:fldChar w:fldCharType="begin"/>
          </w:r>
          <w:r>
            <w:instrText xml:space="preserve"> PAGEREF _Toc13067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_Toc24183 </w:instrText>
          </w:r>
          <w:r>
            <w:fldChar w:fldCharType="separate"/>
          </w:r>
          <w:r>
            <w:rPr>
              <w:rFonts w:hint="default"/>
              <w:lang w:val="en-US" w:eastAsia="zh-CN"/>
            </w:rPr>
            <w:t>3.1.4. 被审核部门回复</w:t>
          </w:r>
          <w:r>
            <w:tab/>
          </w:r>
          <w:r>
            <w:fldChar w:fldCharType="begin"/>
          </w:r>
          <w:r>
            <w:instrText xml:space="preserve"> PAGEREF _Toc24183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_Toc5800 </w:instrText>
          </w:r>
          <w:r>
            <w:fldChar w:fldCharType="separate"/>
          </w:r>
          <w:r>
            <w:rPr>
              <w:rFonts w:hint="default"/>
              <w:lang w:val="en-US" w:eastAsia="zh-CN"/>
            </w:rPr>
            <w:t>3.2. 实施内审</w:t>
          </w:r>
          <w:r>
            <w:tab/>
          </w:r>
          <w:r>
            <w:fldChar w:fldCharType="begin"/>
          </w:r>
          <w:r>
            <w:instrText xml:space="preserve"> PAGEREF _Toc5800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_Toc425 </w:instrText>
          </w:r>
          <w:r>
            <w:fldChar w:fldCharType="separate"/>
          </w:r>
          <w:r>
            <w:rPr>
              <w:rFonts w:hint="default"/>
              <w:lang w:val="en-US" w:eastAsia="zh-CN"/>
            </w:rPr>
            <w:t>3.2.1. 首次会议</w:t>
          </w:r>
          <w:r>
            <w:tab/>
          </w:r>
          <w:r>
            <w:fldChar w:fldCharType="begin"/>
          </w:r>
          <w:r>
            <w:instrText xml:space="preserve"> PAGEREF _Toc425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_Toc32025 </w:instrText>
          </w:r>
          <w:r>
            <w:fldChar w:fldCharType="separate"/>
          </w:r>
          <w:r>
            <w:rPr>
              <w:rFonts w:hint="default"/>
              <w:lang w:val="en-US" w:eastAsia="zh-CN"/>
            </w:rPr>
            <w:t>3.2.2. 执行内审</w:t>
          </w:r>
          <w:r>
            <w:tab/>
          </w:r>
          <w:r>
            <w:fldChar w:fldCharType="begin"/>
          </w:r>
          <w:r>
            <w:instrText xml:space="preserve"> PAGEREF _Toc32025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_Toc12255 </w:instrText>
          </w:r>
          <w:r>
            <w:fldChar w:fldCharType="separate"/>
          </w:r>
          <w:r>
            <w:rPr>
              <w:rFonts w:hint="default"/>
              <w:lang w:val="en-US" w:eastAsia="zh-CN"/>
            </w:rPr>
            <w:t>3.2.3. 内审组会议</w:t>
          </w:r>
          <w:r>
            <w:tab/>
          </w:r>
          <w:r>
            <w:fldChar w:fldCharType="begin"/>
          </w:r>
          <w:r>
            <w:instrText xml:space="preserve"> PAGEREF _Toc12255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_Toc22784 </w:instrText>
          </w:r>
          <w:r>
            <w:fldChar w:fldCharType="separate"/>
          </w:r>
          <w:r>
            <w:rPr>
              <w:rFonts w:hint="default"/>
              <w:lang w:val="en-US" w:eastAsia="zh-CN"/>
            </w:rPr>
            <w:t>3.2.4. 末次会议</w:t>
          </w:r>
          <w:r>
            <w:tab/>
          </w:r>
          <w:r>
            <w:fldChar w:fldCharType="begin"/>
          </w:r>
          <w:r>
            <w:instrText xml:space="preserve"> PAGEREF _Toc22784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_Toc18228 </w:instrText>
          </w:r>
          <w:r>
            <w:fldChar w:fldCharType="separate"/>
          </w:r>
          <w:r>
            <w:rPr>
              <w:rFonts w:hint="default"/>
              <w:lang w:val="en-US" w:eastAsia="zh-CN"/>
            </w:rPr>
            <w:t>3.3. 结束审核</w:t>
          </w:r>
          <w:r>
            <w:tab/>
          </w:r>
          <w:r>
            <w:fldChar w:fldCharType="begin"/>
          </w:r>
          <w:r>
            <w:instrText xml:space="preserve"> PAGEREF _Toc18228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_Toc30207 </w:instrText>
          </w:r>
          <w:r>
            <w:fldChar w:fldCharType="separate"/>
          </w:r>
          <w:r>
            <w:rPr>
              <w:rFonts w:hint="default"/>
              <w:lang w:val="en-US" w:eastAsia="zh-CN"/>
            </w:rPr>
            <w:t>4. 内审员要求</w:t>
          </w:r>
          <w:r>
            <w:tab/>
          </w:r>
          <w:r>
            <w:fldChar w:fldCharType="begin"/>
          </w:r>
          <w:r>
            <w:instrText xml:space="preserve"> PAGEREF _Toc30207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_Toc6869 </w:instrText>
          </w:r>
          <w:r>
            <w:fldChar w:fldCharType="separate"/>
          </w:r>
          <w:r>
            <w:rPr>
              <w:rFonts w:hint="default"/>
              <w:lang w:val="en-US" w:eastAsia="zh-CN"/>
            </w:rPr>
            <w:t xml:space="preserve">5. </w:t>
          </w:r>
          <w:r>
            <w:rPr>
              <w:rFonts w:hint="eastAsia"/>
              <w:lang w:val="en-US" w:eastAsia="zh-CN"/>
            </w:rPr>
            <w:t>KPI指标</w:t>
          </w:r>
          <w:r>
            <w:tab/>
          </w:r>
          <w:r>
            <w:fldChar w:fldCharType="begin"/>
          </w:r>
          <w:r>
            <w:instrText xml:space="preserve"> PAGEREF _Toc6869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_Toc96 </w:instrText>
          </w:r>
          <w:r>
            <w:fldChar w:fldCharType="separate"/>
          </w:r>
          <w:r>
            <w:rPr>
              <w:rFonts w:hint="default"/>
              <w:lang w:val="en-US" w:eastAsia="zh-CN"/>
            </w:rPr>
            <w:t>6. 相关文件</w:t>
          </w:r>
          <w:r>
            <w:tab/>
          </w:r>
          <w:r>
            <w:fldChar w:fldCharType="begin"/>
          </w:r>
          <w:r>
            <w:instrText xml:space="preserve"> PAGEREF _Toc96 \h </w:instrText>
          </w:r>
          <w:r>
            <w:fldChar w:fldCharType="separate"/>
          </w:r>
          <w:r>
            <w:t>7</w:t>
          </w:r>
          <w:r>
            <w:fldChar w:fldCharType="end"/>
          </w:r>
          <w:r>
            <w:fldChar w:fldCharType="end"/>
          </w:r>
        </w:p>
        <w:p>
          <w:pPr>
            <w:rPr>
              <w:rFonts w:hint="default"/>
              <w:lang w:val="en-US" w:eastAsia="zh-CN"/>
            </w:rPr>
          </w:pPr>
          <w:r>
            <w:fldChar w:fldCharType="end"/>
          </w:r>
        </w:p>
      </w:sdtContent>
    </w:sdt>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32455"/>
      <w:r>
        <w:rPr>
          <w:rFonts w:hint="default"/>
          <w:lang w:val="en-US" w:eastAsia="zh-CN"/>
        </w:rPr>
        <w:t>概述</w:t>
      </w:r>
      <w:bookmarkEnd w:id="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2666"/>
      <w:r>
        <w:rPr>
          <w:rFonts w:hint="default"/>
          <w:lang w:val="en-US" w:eastAsia="zh-CN"/>
        </w:rPr>
        <w:t>目的</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通过规范内部审核机制，确保体系的符合性和有效性，并得到持续改进。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3754"/>
      <w:r>
        <w:rPr>
          <w:rFonts w:hint="default"/>
          <w:lang w:val="en-US" w:eastAsia="zh-CN"/>
        </w:rPr>
        <w:t>适用范围</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适用于本公司运维管理体系内部的审核。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3377"/>
      <w:r>
        <w:rPr>
          <w:rFonts w:hint="default"/>
          <w:lang w:val="en-US" w:eastAsia="zh-CN"/>
        </w:rPr>
        <w:t>职责</w:t>
      </w:r>
      <w:bookmarkEnd w:id="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8266"/>
      <w:r>
        <w:rPr>
          <w:rFonts w:hint="default"/>
          <w:lang w:val="en-US" w:eastAsia="zh-CN"/>
        </w:rPr>
        <w:t>总经理</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负责年度审核计划的批准，任命内部审核员。</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3776"/>
      <w:r>
        <w:rPr>
          <w:rFonts w:hint="default"/>
          <w:lang w:val="en-US" w:eastAsia="zh-CN"/>
        </w:rPr>
        <w:t>管理者代表</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负责审核年度审核计划，任命审核组长，确定审核组成员，组织落实纠正措施，并向总经理汇报内部审核情况。</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30877"/>
      <w:r>
        <w:rPr>
          <w:rFonts w:hint="default"/>
          <w:lang w:val="en-US" w:eastAsia="zh-CN"/>
        </w:rPr>
        <w:t>质量部</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w:t>
      </w:r>
      <w:r>
        <w:rPr>
          <w:rFonts w:hint="default"/>
          <w:lang w:val="en-US" w:eastAsia="zh-CN"/>
        </w:rPr>
        <w:t>负责编制年度审核计划、实施计划，负责内部审核资料的保管。协助组织对审核员的培训、聘任等工作。</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5805"/>
      <w:r>
        <w:rPr>
          <w:rFonts w:hint="default"/>
          <w:lang w:val="en-US" w:eastAsia="zh-CN"/>
        </w:rPr>
        <w:t>审核组长</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负责组织实施现场审核、编制内部审核报告，验证纠正措施的效果、整理现场审核形成的全部记录。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3511"/>
      <w:r>
        <w:rPr>
          <w:rFonts w:hint="eastAsia"/>
          <w:lang w:val="en-US" w:eastAsia="zh-CN"/>
        </w:rPr>
        <w:t>其他运维相关部门</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负责提交内审相关材料，各类运维相关记录文件。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1914"/>
      <w:r>
        <w:rPr>
          <w:rFonts w:hint="default"/>
          <w:lang w:val="en-US" w:eastAsia="zh-CN"/>
        </w:rPr>
        <w:t>制定年度内审计划</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w:t>
      </w:r>
      <w:r>
        <w:rPr>
          <w:rFonts w:hint="default"/>
          <w:lang w:val="en-US" w:eastAsia="zh-CN"/>
        </w:rPr>
        <w:t>于内审实施前，编制内审计划，记录于《内审计划表》，提交至管理者代表审批，审批通过后的年度计划将下发至各部门作为下一年内审工作安排指导。</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年度内审计划必须包括管理体系所涉及的所有过程和部门，一般情况下，对各部门的内部审核每年不少于一次。</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0031"/>
      <w:r>
        <w:rPr>
          <w:rFonts w:hint="default"/>
          <w:lang w:val="en-US" w:eastAsia="zh-CN"/>
        </w:rPr>
        <w:t>内审流程</w:t>
      </w:r>
      <w:bookmarkEnd w:id="1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7797"/>
      <w:r>
        <w:rPr>
          <w:rFonts w:hint="default"/>
          <w:lang w:val="en-US" w:eastAsia="zh-CN"/>
        </w:rPr>
        <w:t>启动内审</w:t>
      </w:r>
      <w:bookmarkEnd w:id="16"/>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7621"/>
      <w:r>
        <w:rPr>
          <w:rFonts w:hint="default"/>
          <w:lang w:val="en-US" w:eastAsia="zh-CN"/>
        </w:rPr>
        <w:t>确定内审组成员</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任命内审组组长，通常情况下，</w:t>
      </w:r>
      <w:r>
        <w:rPr>
          <w:rFonts w:hint="eastAsia"/>
          <w:lang w:val="en-US" w:eastAsia="zh-CN"/>
        </w:rPr>
        <w:t>质量部</w:t>
      </w:r>
      <w:r>
        <w:rPr>
          <w:rFonts w:hint="default"/>
          <w:lang w:val="en-US" w:eastAsia="zh-CN"/>
        </w:rPr>
        <w:t>负责人担任内审组组长；选择具有内审员资格的人组成内审组。</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9968"/>
      <w:r>
        <w:rPr>
          <w:rFonts w:hint="default"/>
          <w:lang w:val="en-US" w:eastAsia="zh-CN"/>
        </w:rPr>
        <w:t>准备内审计划</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将审核目的、审核部门、会议地点和审核时间安排等记录于《内审计划表》，将关键指标、审核要点等记录于《内审检查表》。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3067"/>
      <w:r>
        <w:rPr>
          <w:rFonts w:hint="default"/>
          <w:lang w:val="en-US" w:eastAsia="zh-CN"/>
        </w:rPr>
        <w:t>通知被审核部门</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内审组应至少提前三天向被审核部门发出内审通知，说明审核时间和重点，内审通知应附带《年度内审计划表》、《审核安排计划表》和《内审检查表》。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4183"/>
      <w:r>
        <w:rPr>
          <w:rFonts w:hint="default"/>
          <w:lang w:val="en-US" w:eastAsia="zh-CN"/>
        </w:rPr>
        <w:t>被审核部门回复</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被审核部门接到内审通知后，如果对内审通知的内容有异议，可在两天之内通知内审组，双方经过协商达成一致后可对内审计划另行安排。被审核部门应做好必要的准备工作并指定至少一名陪同人员协助内审。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5800"/>
      <w:r>
        <w:rPr>
          <w:rFonts w:hint="default"/>
          <w:lang w:val="en-US" w:eastAsia="zh-CN"/>
        </w:rPr>
        <w:t>实施内审</w:t>
      </w:r>
      <w:bookmarkEnd w:id="2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425"/>
      <w:r>
        <w:rPr>
          <w:rFonts w:hint="default"/>
          <w:lang w:val="en-US" w:eastAsia="zh-CN"/>
        </w:rPr>
        <w:t>首次会议</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内审组组长主持召开首次会议，向被审核部门说明本次内审目的、具体安排和注意事项。</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32025"/>
      <w:r>
        <w:rPr>
          <w:rFonts w:hint="default"/>
          <w:lang w:val="en-US" w:eastAsia="zh-CN"/>
        </w:rPr>
        <w:t>执行内审</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首次会议后，内审组按照预先设定的审核内容进行审核，并记录所见事实。若发现与规定不符合的现象，应将事实记录于《不符合项报告》中。不符合项应得到被审核部门负责人的确认，以保证不符合项被完全理解，并有利于不符合现象的纠正。若发现虽然未违反有关规定，但有趋势发展成为不符合项的现象，内审员应将此类现象作为观察项记录并跟踪，以便采取措施积极预防此类现象的进一步发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2255"/>
      <w:r>
        <w:rPr>
          <w:rFonts w:hint="default"/>
          <w:lang w:val="en-US" w:eastAsia="zh-CN"/>
        </w:rPr>
        <w:t>内审组会议</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遇到问题时，内审组召开会议，统一意见；内审结束时，内审组召开会议，对内审的执行和完成情况进行总结，编写内审报告并记录于《内审报告》。</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2784"/>
      <w:r>
        <w:rPr>
          <w:rFonts w:hint="default"/>
          <w:lang w:val="en-US" w:eastAsia="zh-CN"/>
        </w:rPr>
        <w:t>末次会议</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内审组组长主持召开末次会议，向被审核部门通报此次审核的执行情况，报告内审发现和不符合项的种类和数量。被审核部门若对不符合项有疑义，且双方无法达成共识，可提交至公司管理层裁决。</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8228"/>
      <w:r>
        <w:rPr>
          <w:rFonts w:hint="default"/>
          <w:lang w:val="en-US" w:eastAsia="zh-CN"/>
        </w:rPr>
        <w:t>结束审核</w:t>
      </w:r>
      <w:bookmarkEnd w:id="26"/>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被审核部门应根据内审报告指出的问题制定切实可行的改进计划，记录于《持续改进计划表》，并在规定时间内将改进计划提交给内审组，并按期按改进计划的要求实施纠正。</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内审组接受持续改进计划并对被审核部门的改进计划的实施情况进行监督检查，验证其全部有效后，内审全部结束。</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内审的全部文件和记录由</w:t>
      </w:r>
      <w:r>
        <w:rPr>
          <w:rFonts w:hint="eastAsia"/>
          <w:lang w:val="en-US" w:eastAsia="zh-CN"/>
        </w:rPr>
        <w:t>质量部</w:t>
      </w:r>
      <w:r>
        <w:rPr>
          <w:rFonts w:hint="default"/>
          <w:lang w:val="en-US" w:eastAsia="zh-CN"/>
        </w:rPr>
        <w:t>存档，以保证记录和报告的保密性。</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内审报告和改进计划将作为管理评审的输入之一。</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30207"/>
      <w:r>
        <w:rPr>
          <w:rFonts w:hint="default"/>
          <w:lang w:val="en-US" w:eastAsia="zh-CN"/>
        </w:rPr>
        <w:t>内审员要求</w:t>
      </w:r>
      <w:bookmarkEnd w:id="27"/>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内审员要具有一定审核技能和知识，以保证达到审核目标。</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内审员应与被审核部门无直接责任关系。</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内审员不能审核自己的工作。</w:t>
      </w:r>
    </w:p>
    <w:p>
      <w:pPr>
        <w:pStyle w:val="1"/>
        <w:bidi w:val="0"/>
        <w:rPr>
          <w:rFonts w:hint="default"/>
          <w:lang w:val="en-US" w:eastAsia="zh-CN"/>
        </w:rPr>
      </w:pPr>
      <w:bookmarkStart w:id="28" w:name="_Toc6869"/>
      <w:r>
        <w:rPr>
          <w:rFonts w:hint="eastAsia"/>
          <w:lang w:val="en-US" w:eastAsia="zh-CN"/>
        </w:rPr>
        <w:t>KPI指标</w:t>
      </w:r>
      <w:bookmarkEnd w:id="28"/>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30"/>
        <w:gridCol w:w="2130"/>
        <w:gridCol w:w="2131"/>
        <w:gridCol w:w="213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30"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指标名称</w:t>
            </w:r>
          </w:p>
        </w:tc>
        <w:tc>
          <w:tcPr>
            <w:tcW w:w="2130" w:type="dxa"/>
          </w:tcPr>
          <w:p>
            <w:pPr>
              <w:pStyle w:val="a1"/>
              <w:widowControl w:val="0"/>
              <w:rPr>
                <w:rFonts w:hint="default"/>
                <w:vertAlign w:val="baseline"/>
                <w:lang w:val="en-US" w:eastAsia="zh-CN"/>
              </w:rPr>
            </w:pPr>
            <w:r>
              <w:rPr>
                <w:rFonts w:hint="eastAsia"/>
                <w:vertAlign w:val="baseline"/>
                <w:lang w:val="en-US" w:eastAsia="zh-CN"/>
              </w:rPr>
              <w:t>计算方式</w:t>
            </w:r>
          </w:p>
        </w:tc>
        <w:tc>
          <w:tcPr>
            <w:tcW w:w="2131" w:type="dxa"/>
          </w:tcPr>
          <w:p>
            <w:pPr>
              <w:pStyle w:val="a1"/>
              <w:widowControl w:val="0"/>
              <w:rPr>
                <w:rFonts w:hint="default"/>
                <w:vertAlign w:val="baseline"/>
                <w:lang w:val="en-US" w:eastAsia="zh-CN"/>
              </w:rPr>
            </w:pPr>
            <w:r>
              <w:rPr>
                <w:rFonts w:hint="eastAsia"/>
                <w:vertAlign w:val="baseline"/>
                <w:lang w:val="en-US" w:eastAsia="zh-CN"/>
              </w:rPr>
              <w:t>目标值</w:t>
            </w:r>
          </w:p>
        </w:tc>
        <w:tc>
          <w:tcPr>
            <w:tcW w:w="2131" w:type="dxa"/>
          </w:tcPr>
          <w:p>
            <w:pPr>
              <w:pStyle w:val="a1"/>
              <w:widowControl w:val="0"/>
              <w:rPr>
                <w:rFonts w:hint="default"/>
                <w:vertAlign w:val="baseline"/>
                <w:lang w:val="en-US" w:eastAsia="zh-CN"/>
              </w:rPr>
            </w:pPr>
            <w:r>
              <w:rPr>
                <w:rFonts w:hint="eastAsia"/>
                <w:vertAlign w:val="baseline"/>
                <w:lang w:val="en-US" w:eastAsia="zh-CN"/>
              </w:rPr>
              <w:t>考核周期</w:t>
            </w:r>
          </w:p>
        </w:tc>
      </w:tr>
      <w:tr>
        <w:tblPrEx>
          <w:tblW w:w="0" w:type="auto"/>
          <w:tblInd w:w="0" w:type="dxa"/>
          <w:tblCellMar>
            <w:top w:w="0" w:type="dxa"/>
            <w:left w:w="108" w:type="dxa"/>
            <w:bottom w:w="0" w:type="dxa"/>
            <w:right w:w="108" w:type="dxa"/>
          </w:tblCellMar>
        </w:tblPrEx>
        <w:tc>
          <w:tcPr>
            <w:tcW w:w="2130" w:type="dxa"/>
            <w:shd w:val="clear" w:color="auto" w:fill="auto"/>
          </w:tcPr>
          <w:p>
            <w:pPr>
              <w:pStyle w:val="TableText"/>
              <w:widowControl w:val="0"/>
              <w:spacing w:before="232" w:line="218" w:lineRule="auto"/>
              <w:ind w:left="403" w:leftChars="0"/>
              <w:rPr>
                <w:rFonts w:ascii="宋体" w:eastAsia="宋体" w:hAnsi="宋体" w:cs="宋体" w:hint="default"/>
                <w:snapToGrid w:val="0"/>
                <w:color w:val="000000"/>
                <w:kern w:val="0"/>
                <w:sz w:val="24"/>
                <w:szCs w:val="24"/>
                <w:lang w:val="en-US" w:eastAsia="zh-CN" w:bidi="ar-SA"/>
              </w:rPr>
            </w:pPr>
            <w:r>
              <w:rPr>
                <w:spacing w:val="-8"/>
                <w:sz w:val="24"/>
                <w:szCs w:val="24"/>
              </w:rPr>
              <w:t>内审覆盖率</w:t>
            </w:r>
          </w:p>
        </w:tc>
        <w:tc>
          <w:tcPr>
            <w:tcW w:w="2130" w:type="dxa"/>
            <w:shd w:val="clear" w:color="auto" w:fill="auto"/>
          </w:tcPr>
          <w:p>
            <w:pPr>
              <w:pStyle w:val="TableText"/>
              <w:widowControl w:val="0"/>
              <w:spacing w:before="232" w:line="217" w:lineRule="auto"/>
              <w:rPr>
                <w:rFonts w:ascii="宋体" w:eastAsia="宋体" w:hAnsi="宋体" w:cs="宋体" w:hint="default"/>
                <w:snapToGrid w:val="0"/>
                <w:color w:val="000000"/>
                <w:kern w:val="0"/>
                <w:sz w:val="24"/>
                <w:szCs w:val="24"/>
                <w:lang w:val="en-US" w:eastAsia="zh-CN" w:bidi="ar-SA"/>
              </w:rPr>
            </w:pPr>
            <w:r>
              <w:rPr>
                <w:spacing w:val="-4"/>
                <w:sz w:val="24"/>
                <w:szCs w:val="24"/>
              </w:rPr>
              <w:t>内审受审核部门/体系覆盖部门</w:t>
            </w:r>
          </w:p>
        </w:tc>
        <w:tc>
          <w:tcPr>
            <w:tcW w:w="2131" w:type="dxa"/>
            <w:shd w:val="clear" w:color="auto" w:fill="auto"/>
          </w:tcPr>
          <w:p>
            <w:pPr>
              <w:pStyle w:val="TableText"/>
              <w:widowControl w:val="0"/>
              <w:spacing w:before="231" w:line="237" w:lineRule="auto"/>
              <w:ind w:left="221" w:leftChars="0"/>
              <w:rPr>
                <w:rFonts w:ascii="宋体" w:eastAsia="宋体" w:hAnsi="宋体" w:cs="宋体" w:hint="default"/>
                <w:snapToGrid w:val="0"/>
                <w:color w:val="000000"/>
                <w:kern w:val="0"/>
                <w:sz w:val="24"/>
                <w:szCs w:val="24"/>
                <w:lang w:val="en-US" w:eastAsia="zh-CN" w:bidi="ar-SA"/>
              </w:rPr>
            </w:pPr>
            <w:r>
              <w:rPr>
                <w:spacing w:val="-5"/>
                <w:sz w:val="24"/>
                <w:szCs w:val="24"/>
              </w:rPr>
              <w:t>100%</w:t>
            </w:r>
          </w:p>
        </w:tc>
        <w:tc>
          <w:tcPr>
            <w:tcW w:w="2131" w:type="dxa"/>
            <w:shd w:val="clear" w:color="auto" w:fill="auto"/>
          </w:tcPr>
          <w:p>
            <w:pPr>
              <w:pStyle w:val="TableText"/>
              <w:widowControl w:val="0"/>
              <w:spacing w:before="232" w:line="218" w:lineRule="auto"/>
              <w:ind w:left="162" w:leftChars="0"/>
              <w:rPr>
                <w:rFonts w:ascii="宋体" w:eastAsia="宋体" w:hAnsi="宋体" w:cs="宋体" w:hint="default"/>
                <w:snapToGrid w:val="0"/>
                <w:color w:val="000000"/>
                <w:kern w:val="0"/>
                <w:sz w:val="24"/>
                <w:szCs w:val="24"/>
                <w:lang w:val="en-US" w:eastAsia="zh-CN" w:bidi="ar-SA"/>
              </w:rPr>
            </w:pPr>
            <w:r>
              <w:rPr>
                <w:spacing w:val="-6"/>
                <w:sz w:val="24"/>
                <w:szCs w:val="24"/>
              </w:rPr>
              <w:t>年度</w:t>
            </w:r>
          </w:p>
        </w:tc>
      </w:tr>
    </w:tbl>
    <w:p>
      <w:pPr>
        <w:pStyle w:val="a1"/>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96"/>
      <w:r>
        <w:rPr>
          <w:rFonts w:hint="default"/>
          <w:lang w:val="en-US" w:eastAsia="zh-CN"/>
        </w:rPr>
        <w:t>相关文件</w:t>
      </w:r>
      <w:bookmarkEnd w:id="2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《年度内审计划表》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《年度审核安排计划表》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《内审检查表》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《不符合项报告》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《持续改进计划表》</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DAA42840"/>
    <w:multiLevelType w:val="singleLevel"/>
    <w:tmpl w:val="DAA42840"/>
    <w:lvl w:ilvl="0">
      <w:start w:val="1"/>
      <w:numFmt w:val="decimal"/>
      <w:lvlText w:val="%1."/>
      <w:lvlJc w:val="left"/>
      <w:pPr>
        <w:ind w:left="425" w:hanging="425"/>
      </w:pPr>
      <w:rPr>
        <w:rFonts w:hint="default"/>
      </w:rPr>
    </w:lvl>
  </w:abstractNum>
  <w:abstractNum w:abstractNumId="2">
    <w:nsid w:val="5760B9DF"/>
    <w:multiLevelType w:val="singleLevel"/>
    <w:tmpl w:val="5760B9DF"/>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1726</Words>
  <Characters>1902</Characters>
  <Application>Microsoft Office Word</Application>
  <DocSecurity>0</DocSecurity>
  <Lines>0</Lines>
  <Paragraphs>0</Paragraphs>
  <ScaleCrop>false</ScaleCrop>
  <Company/>
  <LinksUpToDate>false</LinksUpToDate>
  <CharactersWithSpaces>1956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2026-02-15T15:51:32Z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