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3311"/>
      <w:r>
        <w:rPr>
          <w:rFonts w:hint="eastAsia"/>
          <w:lang w:val="en-US" w:eastAsia="zh-CN"/>
        </w:rPr>
        <w:t>天津市华夏电缆有限公司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20886"/>
      <w:r>
        <w:rPr>
          <w:rFonts w:hint="eastAsia"/>
          <w:lang w:val="en-US" w:eastAsia="zh-CN"/>
        </w:rPr>
        <w:t>管理评审程序</w:t>
      </w:r>
      <w:bookmarkEnd w:id="1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4679"/>
      <w:r>
        <w:rPr>
          <w:rFonts w:hint="eastAsia"/>
          <w:lang w:val="en-US" w:eastAsia="zh-CN"/>
        </w:rPr>
        <w:t>（HXDL-ITSS-0402）</w:t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刘鑫楠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eastAsia="宋体" w:hAnsi="宋体" w:cs="宋体"/>
          <w:sz w:val="30"/>
          <w:szCs w:val="30"/>
        </w:rPr>
      </w:pPr>
      <w:bookmarkStart w:id="3" w:name="_Toc19089"/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TableNormal0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spacing w:val="-4"/>
              </w:rPr>
              <w:t>刘鑫楠</w:t>
            </w: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2392"/>
        <w:docPartObj>
          <w:docPartGallery w:val="Table of Contents"/>
          <w:docPartUnique/>
        </w:docPartObj>
      </w:sdt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_Toc3311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_Toc3311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_Toc20886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管理评审程序</w:t>
          </w:r>
          <w:r>
            <w:tab/>
          </w:r>
          <w:r>
            <w:fldChar w:fldCharType="begin"/>
          </w:r>
          <w:r>
            <w:instrText xml:space="preserve"> PAGEREF _Toc20886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_Toc24679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（HXDL-ITSS-0402）</w:t>
          </w:r>
          <w:r>
            <w:tab/>
          </w:r>
          <w:r>
            <w:fldChar w:fldCharType="begin"/>
          </w:r>
          <w:r>
            <w:instrText xml:space="preserve"> PAGEREF _Toc24679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_Toc19089 </w:instrText>
          </w:r>
          <w:r>
            <w:fldChar w:fldCharType="separate"/>
          </w:r>
          <w:r>
            <w:rPr>
              <w:rFonts w:ascii="宋体" w:eastAsia="宋体" w:hAnsi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_Toc19089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_Toc367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_Toc367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_Toc4406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_Toc4406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_Toc18286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职责</w:t>
          </w:r>
          <w:r>
            <w:tab/>
          </w:r>
          <w:r>
            <w:fldChar w:fldCharType="begin"/>
          </w:r>
          <w:r>
            <w:instrText xml:space="preserve"> PAGEREF _Toc18286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_Toc11279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总经理</w:t>
          </w:r>
          <w:r>
            <w:tab/>
          </w:r>
          <w:r>
            <w:fldChar w:fldCharType="begin"/>
          </w:r>
          <w:r>
            <w:instrText xml:space="preserve"> PAGEREF _Toc11279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管理者代表</w:t>
          </w:r>
          <w:r>
            <w:tab/>
          </w:r>
          <w:r>
            <w:fldChar w:fldCharType="begin"/>
          </w:r>
          <w:r>
            <w:instrText xml:space="preserve"> PAGEREF _Toc131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_Toc29586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_Toc29586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_Toc8917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内容与要求</w:t>
          </w:r>
          <w:r>
            <w:tab/>
          </w:r>
          <w:r>
            <w:fldChar w:fldCharType="begin"/>
          </w:r>
          <w:r>
            <w:instrText xml:space="preserve"> PAGEREF _Toc8917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_Toc11948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管理评审频次</w:t>
          </w:r>
          <w:r>
            <w:tab/>
          </w:r>
          <w:r>
            <w:fldChar w:fldCharType="begin"/>
          </w:r>
          <w:r>
            <w:instrText xml:space="preserve"> PAGEREF _Toc11948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_Toc25974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评审输入</w:t>
          </w:r>
          <w:r>
            <w:tab/>
          </w:r>
          <w:r>
            <w:fldChar w:fldCharType="begin"/>
          </w:r>
          <w:r>
            <w:instrText xml:space="preserve"> PAGEREF _Toc25974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_Toc31896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4.2.1. 评审计划与准备</w:t>
          </w:r>
          <w:r>
            <w:tab/>
          </w:r>
          <w:r>
            <w:fldChar w:fldCharType="begin"/>
          </w:r>
          <w:r>
            <w:instrText xml:space="preserve"> PAGEREF _Toc31896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_Toc25953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4.2.2. 管理体系运行基本情况报告</w:t>
          </w:r>
          <w:r>
            <w:tab/>
          </w:r>
          <w:r>
            <w:fldChar w:fldCharType="begin"/>
          </w:r>
          <w:r>
            <w:instrText xml:space="preserve"> PAGEREF _Toc25953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_Toc15978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4.2.3. 顾客满意综合分析报告</w:t>
          </w:r>
          <w:r>
            <w:tab/>
          </w:r>
          <w:r>
            <w:fldChar w:fldCharType="begin"/>
          </w:r>
          <w:r>
            <w:instrText xml:space="preserve"> PAGEREF _Toc15978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_Toc24404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4.2.4. 运维过程与资料管理报告</w:t>
          </w:r>
          <w:r>
            <w:tab/>
          </w:r>
          <w:r>
            <w:fldChar w:fldCharType="begin"/>
          </w:r>
          <w:r>
            <w:instrText xml:space="preserve"> PAGEREF _Toc24404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_Toc1526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4.2.5. 备品备件管理报告</w:t>
          </w:r>
          <w:r>
            <w:tab/>
          </w:r>
          <w:r>
            <w:fldChar w:fldCharType="begin"/>
          </w:r>
          <w:r>
            <w:instrText xml:space="preserve"> PAGEREF _Toc1526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_Toc3482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4.2.6. 运维人员管理工作总结报告</w:t>
          </w:r>
          <w:r>
            <w:tab/>
          </w:r>
          <w:r>
            <w:fldChar w:fldCharType="begin"/>
          </w:r>
          <w:r>
            <w:instrText xml:space="preserve"> PAGEREF _Toc3482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_Toc32003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4.2.7. 研发状况分析</w:t>
          </w:r>
          <w:r>
            <w:tab/>
          </w:r>
          <w:r>
            <w:fldChar w:fldCharType="begin"/>
          </w:r>
          <w:r>
            <w:instrText xml:space="preserve"> PAGEREF _Toc32003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_Toc28925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4.2.8. 管理评审会议</w:t>
          </w:r>
          <w:r>
            <w:tab/>
          </w:r>
          <w:r>
            <w:fldChar w:fldCharType="begin"/>
          </w:r>
          <w:r>
            <w:instrText xml:space="preserve"> PAGEREF _Toc28925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_Toc3806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评审输出</w:t>
          </w:r>
          <w:r>
            <w:tab/>
          </w:r>
          <w:r>
            <w:fldChar w:fldCharType="begin"/>
          </w:r>
          <w:r>
            <w:instrText xml:space="preserve"> PAGEREF _Toc3806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_Toc18045 </w:instrText>
          </w:r>
          <w:r>
            <w:fldChar w:fldCharType="separate"/>
          </w:r>
          <w:r>
            <w:rPr>
              <w:rFonts w:hint="default"/>
            </w:rPr>
            <w:t>4.3.1. 输出内容与范围</w:t>
          </w:r>
          <w:r>
            <w:tab/>
          </w:r>
          <w:r>
            <w:fldChar w:fldCharType="begin"/>
          </w:r>
          <w:r>
            <w:instrText xml:space="preserve"> PAGEREF _Toc18045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_Toc12240 </w:instrText>
          </w:r>
          <w:r>
            <w:fldChar w:fldCharType="separate"/>
          </w:r>
          <w:r>
            <w:rPr>
              <w:rFonts w:hint="default"/>
            </w:rPr>
            <w:t>4.3.2. 输出报告编制与分发</w:t>
          </w:r>
          <w:r>
            <w:tab/>
          </w:r>
          <w:r>
            <w:fldChar w:fldCharType="begin"/>
          </w:r>
          <w:r>
            <w:instrText xml:space="preserve"> PAGEREF _Toc12240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_Toc14201 </w:instrText>
          </w:r>
          <w:r>
            <w:fldChar w:fldCharType="separate"/>
          </w:r>
          <w:r>
            <w:rPr>
              <w:rFonts w:hint="default"/>
            </w:rPr>
            <w:t>4.3.3. 后续纠正与改进措施</w:t>
          </w:r>
          <w:r>
            <w:tab/>
          </w:r>
          <w:r>
            <w:fldChar w:fldCharType="begin"/>
          </w:r>
          <w:r>
            <w:instrText xml:space="preserve"> PAGEREF _Toc14201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_Toc14598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4.4. 管理评审记录与持续改进</w:t>
          </w:r>
          <w:r>
            <w:tab/>
          </w:r>
          <w:r>
            <w:fldChar w:fldCharType="begin"/>
          </w:r>
          <w:r>
            <w:instrText xml:space="preserve"> PAGEREF _Toc14598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_Toc113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_Toc17641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相关文件</w:t>
          </w:r>
          <w:r>
            <w:tab/>
          </w:r>
          <w:r>
            <w:fldChar w:fldCharType="begin"/>
          </w:r>
          <w:r>
            <w:instrText xml:space="preserve"> PAGEREF _Toc17641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_Toc27275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记录</w:t>
          </w:r>
          <w:r>
            <w:tab/>
          </w:r>
          <w:r>
            <w:fldChar w:fldCharType="begin"/>
          </w:r>
          <w:r>
            <w:instrText xml:space="preserve"> PAGEREF _Toc27275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bookmarkStart w:id="4" w:name="_GoBack"/>
      <w:bookmarkEnd w:id="4"/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367"/>
      <w:r>
        <w:rPr>
          <w:rFonts w:hint="default"/>
          <w:lang w:val="en-US" w:eastAsia="zh-CN"/>
        </w:rPr>
        <w:t>目的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评价管理体系，确保其持续的适宜性、充分性和有效性。包括评价改进的机会和管理体系变更的需要，包括方针和目标变更的需求。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" w:name="_Toc4406"/>
      <w:r>
        <w:rPr>
          <w:rFonts w:hint="default"/>
          <w:lang w:val="en-US" w:eastAsia="zh-CN"/>
        </w:rPr>
        <w:t>适用范围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适用于公司运维服务管理体系评价。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18286"/>
      <w:r>
        <w:rPr>
          <w:rFonts w:hint="default"/>
          <w:lang w:val="en-US" w:eastAsia="zh-CN"/>
        </w:rPr>
        <w:t>职责</w:t>
      </w:r>
      <w:bookmarkEnd w:id="7"/>
    </w:p>
    <w:p>
      <w:pPr>
        <w:pStyle w:val="2"/>
        <w:bidi w:val="0"/>
        <w:rPr>
          <w:rFonts w:hint="default"/>
          <w:lang w:val="en-US" w:eastAsia="zh-CN"/>
        </w:rPr>
      </w:pPr>
      <w:bookmarkStart w:id="8" w:name="_Toc11279"/>
      <w:r>
        <w:rPr>
          <w:rFonts w:hint="default"/>
          <w:lang w:val="en-US" w:eastAsia="zh-CN"/>
        </w:rPr>
        <w:t>总经理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主持管理评审，对管理体系进行评价。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131"/>
      <w:r>
        <w:rPr>
          <w:rFonts w:hint="default"/>
          <w:lang w:val="en-US" w:eastAsia="zh-CN"/>
        </w:rPr>
        <w:t>管理者代表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协助总经理进行管理评审的组织工作。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0" w:name="_Toc29586"/>
      <w:r>
        <w:rPr>
          <w:rFonts w:hint="eastAsia"/>
          <w:lang w:val="en-US" w:eastAsia="zh-CN"/>
        </w:rPr>
        <w:t>质量部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负责管理评审的会务工作，并保持管理评审记录。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1" w:name="_Toc8917"/>
      <w:r>
        <w:rPr>
          <w:rFonts w:hint="default"/>
          <w:lang w:val="en-US" w:eastAsia="zh-CN"/>
        </w:rPr>
        <w:t>内容与要求</w:t>
      </w:r>
      <w:bookmarkEnd w:id="11"/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11948"/>
      <w:r>
        <w:rPr>
          <w:rFonts w:hint="default"/>
          <w:lang w:val="en-US" w:eastAsia="zh-CN"/>
        </w:rPr>
        <w:t>管理评审频次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每年至少进行一次对管理体系的总结性评价。一般情况下，以公司年终总结会的形式进行。但出现下列情况之一时，追加评审。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组织机构、资源配置发生重大变化；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发生重大运维服务事故，顾客严重投诉；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体系方针、目标的修改；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内部或外部管理体系审核中发现严重不合格；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25974"/>
      <w:r>
        <w:rPr>
          <w:rFonts w:hint="default"/>
          <w:lang w:val="en-US" w:eastAsia="zh-CN"/>
        </w:rPr>
        <w:t>评审输入</w:t>
      </w:r>
      <w:bookmarkEnd w:id="13"/>
    </w:p>
    <w:p>
      <w:pPr>
        <w:pStyle w:val="3"/>
        <w:bidi w:val="0"/>
        <w:rPr>
          <w:rFonts w:hint="default"/>
          <w:lang w:val="en-US" w:eastAsia="zh-CN"/>
        </w:rPr>
      </w:pPr>
      <w:bookmarkStart w:id="14" w:name="_Toc31896"/>
      <w:r>
        <w:rPr>
          <w:rFonts w:hint="default"/>
          <w:lang w:val="en-US" w:eastAsia="zh-CN"/>
        </w:rPr>
        <w:t>评审计划与准备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管理者代表组织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编制《运维服务管理评审计划》，总经理批准后，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提前1周通知参加评审会议的人员。计划主要内容包括：评审会议的时间、地点、主持人、参加人、评审输入信息要求等。</w:t>
      </w:r>
      <w:r>
        <w:rPr>
          <w:rFonts w:hint="eastAsia"/>
          <w:lang w:val="en-US" w:eastAsia="zh-CN"/>
        </w:rPr>
        <w:t>运维相关部门</w:t>
      </w:r>
      <w:r>
        <w:rPr>
          <w:rFonts w:hint="default"/>
          <w:lang w:val="en-US" w:eastAsia="zh-CN"/>
        </w:rPr>
        <w:t>以书面形式向主管部门提供所需的资料或数据。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5" w:name="_Toc25953"/>
      <w:r>
        <w:rPr>
          <w:rFonts w:hint="default"/>
          <w:lang w:val="en-US" w:eastAsia="zh-CN"/>
        </w:rPr>
        <w:t>管理体系运行基本情况报告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收集汇总各职能部门的相关信息，形成《管理体系运行基本情况报告》，主要内容包括：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公司各项管理目标（指标）的实现情况；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运维服务的评价选择及履约状况；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对各职能部门管理活动监督检查情况的综合分析；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内部和外部管理体系审核结果（包括审核中发现的不符合项及分布情况）；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上次管理评审提出改进措施的落实情况；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可能影响管理体系的变更情况以及改进建议等；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其他相关信息的收集、分析和利用等。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6" w:name="_Toc15978"/>
      <w:r>
        <w:rPr>
          <w:rFonts w:hint="default"/>
          <w:lang w:val="en-US" w:eastAsia="zh-CN"/>
        </w:rPr>
        <w:t>顾客满意综合分析报告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服务台</w:t>
      </w:r>
      <w:r>
        <w:rPr>
          <w:rFonts w:hint="default"/>
          <w:lang w:val="en-US" w:eastAsia="zh-CN"/>
        </w:rPr>
        <w:t>收集汇总各部门、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相关信息，形成《顾客满意综合分析报告》。主要内容包括：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运维服务的符合性（满足运维有关方、法律法规及公司自身要求的符合性），包括质量创优活动等；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对运维服务能力管理活动监督检查情况分析；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运维服务质量的纠正措施和预防措施状况；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运维服务有关方（顾客）对运维服务质量的满意程度，以及提高顾客满意的改进措施和实施情况、建议等。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运维服务合同履约情况分析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7" w:name="_Toc24404"/>
      <w:r>
        <w:rPr>
          <w:rFonts w:hint="default"/>
          <w:lang w:val="en-US" w:eastAsia="zh-CN"/>
        </w:rPr>
        <w:t>运维过程与资料管理报告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运维部、质量部</w:t>
      </w:r>
      <w:r>
        <w:rPr>
          <w:rFonts w:hint="default"/>
          <w:lang w:val="en-US" w:eastAsia="zh-CN"/>
        </w:rPr>
        <w:t>收集汇总运维过程、资料管理情况，形成管理报告。主要内容包括：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过程管理的符合性（满足运维有关方、法律法规及公司自身要求的符合性），包括质量创优活动等；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对过程管理活动监控情况分析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管理活动监控情况分析；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对服务台管理活动监督检查情况分析；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运维服务质量的纠正措施和预防措施状况；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8" w:name="_Toc1526"/>
      <w:r>
        <w:rPr>
          <w:rFonts w:hint="default"/>
          <w:lang w:val="en-US" w:eastAsia="zh-CN"/>
        </w:rPr>
        <w:t>备品备件管理报告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备件库</w:t>
      </w:r>
      <w:r>
        <w:rPr>
          <w:rFonts w:hint="default"/>
          <w:lang w:val="en-US" w:eastAsia="zh-CN"/>
        </w:rPr>
        <w:t>收集汇总相关信息，提供《备品备件管理报告》，主要内容包括：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运维服务项目备品备件的采购或租赁管理管理情况，包括对供方的评价；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备品备件采购的总结分析，包括对供方的评价选择和再评价情况；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备品备件库管理进行监督检查的情况；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备品备件采购和管理的其他相关信息的收集、分析和利用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9" w:name="_Toc3482"/>
      <w:r>
        <w:rPr>
          <w:rFonts w:hint="default"/>
          <w:lang w:val="en-US" w:eastAsia="zh-CN"/>
        </w:rPr>
        <w:t>运维人员管理工作总结报告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收集汇总相关信息，提供《运维人员管理工作总结报告》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20" w:name="_Toc32003"/>
      <w:r>
        <w:rPr>
          <w:rFonts w:hint="default"/>
          <w:lang w:val="en-US" w:eastAsia="zh-CN"/>
        </w:rPr>
        <w:t>研发状况分析</w:t>
      </w:r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研发部</w:t>
      </w:r>
      <w:r>
        <w:rPr>
          <w:rFonts w:hint="default"/>
          <w:lang w:val="en-US" w:eastAsia="zh-CN"/>
        </w:rPr>
        <w:t>提供研发状况分析。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21" w:name="_Toc28925"/>
      <w:r>
        <w:rPr>
          <w:rFonts w:hint="default"/>
          <w:lang w:val="en-US" w:eastAsia="zh-CN"/>
        </w:rPr>
        <w:t>管理评审会议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管理评审以会议形式，由总经理主持。管理者代表，及公司全体领导、各部门负责人参加。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各部门负责人向会议介绍专题报告内容；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参会人员就评审输入内容予以评价，对相关报告进行审议，对公司管理方针、目标的适宜性，管理体系的适宜性、充分性和有效性做出评价；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明确管理绩效，找出管理薄弱环节，提出改进方向和措施；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总经理对管理体系评价做结论，对改进活动提出明确要求。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2" w:name="_Toc3806"/>
      <w:r>
        <w:rPr>
          <w:rFonts w:hint="default"/>
          <w:lang w:val="en-US" w:eastAsia="zh-CN"/>
        </w:rPr>
        <w:t>评审输出</w:t>
      </w:r>
      <w:bookmarkEnd w:id="22"/>
    </w:p>
    <w:p>
      <w:pPr>
        <w:pStyle w:val="3"/>
        <w:bidi w:val="0"/>
        <w:rPr>
          <w:rFonts w:hint="default"/>
        </w:rPr>
      </w:pPr>
      <w:bookmarkStart w:id="23" w:name="_Toc18045"/>
      <w:r>
        <w:rPr>
          <w:rFonts w:hint="default"/>
        </w:rPr>
        <w:t>输出内容与范围</w:t>
      </w:r>
      <w:bookmarkEnd w:id="23"/>
    </w:p>
    <w:p>
      <w:pPr>
        <w:pStyle w:val="a1"/>
        <w:numPr>
          <w:ilvl w:val="0"/>
          <w:numId w:val="0"/>
        </w:numPr>
        <w:bidi w:val="0"/>
        <w:ind w:leftChars="0"/>
        <w:rPr>
          <w:rFonts w:hint="default"/>
        </w:rPr>
      </w:pPr>
      <w:r>
        <w:rPr>
          <w:rFonts w:hint="default"/>
        </w:rPr>
        <w:t>管理评审输出包括以下方面的有关决定和措施：</w:t>
      </w:r>
    </w:p>
    <w:p>
      <w:pPr>
        <w:pStyle w:val="a1"/>
        <w:numPr>
          <w:ilvl w:val="0"/>
          <w:numId w:val="8"/>
        </w:numPr>
        <w:bidi w:val="0"/>
        <w:ind w:left="425" w:hanging="425" w:leftChars="0" w:firstLineChars="0"/>
        <w:rPr>
          <w:rFonts w:hint="default"/>
        </w:rPr>
      </w:pPr>
      <w:r>
        <w:rPr>
          <w:rFonts w:hint="default"/>
        </w:rPr>
        <w:t>管理方针和目标符合性的结论；</w:t>
      </w:r>
    </w:p>
    <w:p>
      <w:pPr>
        <w:pStyle w:val="a1"/>
        <w:numPr>
          <w:ilvl w:val="0"/>
          <w:numId w:val="8"/>
        </w:numPr>
        <w:bidi w:val="0"/>
        <w:ind w:left="425" w:hanging="425" w:leftChars="0" w:firstLineChars="0"/>
      </w:pPr>
      <w:r>
        <w:rPr>
          <w:rFonts w:hint="default"/>
        </w:rPr>
        <w:t>为提高管理体系和过程的有效性的决定和措施；</w:t>
      </w:r>
    </w:p>
    <w:p>
      <w:pPr>
        <w:pStyle w:val="a1"/>
        <w:numPr>
          <w:ilvl w:val="0"/>
          <w:numId w:val="8"/>
        </w:numPr>
        <w:bidi w:val="0"/>
        <w:ind w:left="425" w:hanging="425" w:leftChars="0" w:firstLineChars="0"/>
      </w:pPr>
      <w:r>
        <w:rPr>
          <w:rFonts w:hint="default"/>
        </w:rPr>
        <w:t>提高顾客满意度对运维服务质量改进决定和措施；</w:t>
      </w:r>
    </w:p>
    <w:p>
      <w:pPr>
        <w:pStyle w:val="a1"/>
        <w:numPr>
          <w:ilvl w:val="0"/>
          <w:numId w:val="8"/>
        </w:numPr>
        <w:bidi w:val="0"/>
        <w:ind w:left="425" w:hanging="425" w:leftChars="0" w:firstLineChars="0"/>
      </w:pPr>
      <w:r>
        <w:rPr>
          <w:rFonts w:hint="default"/>
        </w:rPr>
        <w:t>改进运维服务绩效的决定和措施；</w:t>
      </w:r>
    </w:p>
    <w:p>
      <w:pPr>
        <w:pStyle w:val="a1"/>
        <w:numPr>
          <w:ilvl w:val="0"/>
          <w:numId w:val="8"/>
        </w:numPr>
        <w:bidi w:val="0"/>
        <w:ind w:left="425" w:hanging="425" w:leftChars="0" w:firstLineChars="0"/>
      </w:pPr>
      <w:r>
        <w:rPr>
          <w:rFonts w:hint="default"/>
        </w:rPr>
        <w:t>管理体系各项资源配置的决定和措施；</w:t>
      </w:r>
    </w:p>
    <w:p>
      <w:pPr>
        <w:pStyle w:val="a1"/>
        <w:numPr>
          <w:ilvl w:val="0"/>
          <w:numId w:val="8"/>
        </w:numPr>
        <w:bidi w:val="0"/>
        <w:ind w:left="425" w:hanging="425" w:leftChars="0" w:firstLineChars="0"/>
      </w:pPr>
      <w:r>
        <w:rPr>
          <w:rFonts w:hint="default"/>
        </w:rPr>
        <w:t>对管理体系持续的适宜性、充分性和有效性的总体评价。</w:t>
      </w:r>
    </w:p>
    <w:p>
      <w:pPr>
        <w:pStyle w:val="3"/>
        <w:bidi w:val="0"/>
        <w:rPr>
          <w:rFonts w:hint="default"/>
        </w:rPr>
      </w:pPr>
      <w:bookmarkStart w:id="24" w:name="_Toc12240"/>
      <w:r>
        <w:rPr>
          <w:rFonts w:hint="default"/>
        </w:rPr>
        <w:t>输出报告编制与分发</w:t>
      </w:r>
      <w:bookmarkEnd w:id="24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管理评审的输出形式为《运维服务管理评审报告》。</w:t>
      </w:r>
      <w:r>
        <w:rPr>
          <w:rFonts w:hint="eastAsia"/>
          <w:lang w:eastAsia="zh-CN"/>
        </w:rPr>
        <w:t>质量部</w:t>
      </w:r>
      <w:r>
        <w:rPr>
          <w:rFonts w:hint="default"/>
        </w:rPr>
        <w:t>根据管理评审的结论，编制《运维服务管理评审报告》，经管理者代表审核、总经理批准后发至各部门。</w:t>
      </w:r>
    </w:p>
    <w:p>
      <w:pPr>
        <w:pStyle w:val="3"/>
        <w:bidi w:val="0"/>
        <w:rPr>
          <w:rFonts w:hint="default"/>
        </w:rPr>
      </w:pPr>
      <w:bookmarkStart w:id="25" w:name="_Toc14201"/>
      <w:r>
        <w:rPr>
          <w:rFonts w:hint="default"/>
        </w:rPr>
        <w:t>后续纠正与改进措施</w:t>
      </w:r>
      <w:bookmarkEnd w:id="25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根据评审中提出的不符合或待改进项目，由有关责任部门或人员进行纠正。必要时，制定纠正措施或预防措施。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6" w:name="_Toc14598"/>
      <w:r>
        <w:rPr>
          <w:rFonts w:hint="default"/>
          <w:lang w:val="en-US" w:eastAsia="zh-CN"/>
        </w:rPr>
        <w:t>管理评审记录与持续改进</w:t>
      </w:r>
      <w:bookmarkEnd w:id="2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负责对改进、纠正或预防措施的实施情况跟踪检查和验证。验证结果由管理者代表向总经理报告。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保持管理评审记录。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7" w:name="_Toc113"/>
      <w:r>
        <w:rPr>
          <w:rFonts w:hint="eastAsia"/>
          <w:lang w:val="en-US" w:eastAsia="zh-CN"/>
        </w:rPr>
        <w:t>KPI指标</w:t>
      </w:r>
      <w:bookmarkEnd w:id="27"/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2130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计算方式</w:t>
            </w:r>
          </w:p>
        </w:tc>
        <w:tc>
          <w:tcPr>
            <w:tcW w:w="2131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目标值</w:t>
            </w:r>
          </w:p>
        </w:tc>
        <w:tc>
          <w:tcPr>
            <w:tcW w:w="2131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考核周期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</w:tcPr>
          <w:p>
            <w:pPr>
              <w:pStyle w:val="TableText"/>
              <w:widowControl w:val="0"/>
              <w:spacing w:before="233" w:line="218" w:lineRule="auto"/>
              <w:ind w:left="134" w:leftChars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管理评审次数</w:t>
            </w:r>
          </w:p>
        </w:tc>
        <w:tc>
          <w:tcPr>
            <w:tcW w:w="2130" w:type="dxa"/>
            <w:shd w:val="clear" w:color="auto" w:fill="auto"/>
          </w:tcPr>
          <w:p>
            <w:pPr>
              <w:pStyle w:val="TableText"/>
              <w:widowControl w:val="0"/>
              <w:spacing w:before="233" w:line="216" w:lineRule="auto"/>
              <w:ind w:left="152" w:leftChars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次数，进行评审的次数</w:t>
            </w:r>
          </w:p>
        </w:tc>
        <w:tc>
          <w:tcPr>
            <w:tcW w:w="2131" w:type="dxa"/>
            <w:shd w:val="clear" w:color="auto" w:fill="auto"/>
          </w:tcPr>
          <w:p>
            <w:pPr>
              <w:pStyle w:val="TableText"/>
              <w:widowControl w:val="0"/>
              <w:spacing w:before="233" w:line="237" w:lineRule="auto"/>
              <w:ind w:left="168" w:leftChars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1次</w:t>
            </w:r>
          </w:p>
        </w:tc>
        <w:tc>
          <w:tcPr>
            <w:tcW w:w="2131" w:type="dxa"/>
            <w:shd w:val="clear" w:color="auto" w:fill="auto"/>
          </w:tcPr>
          <w:p>
            <w:pPr>
              <w:pStyle w:val="TableText"/>
              <w:widowControl w:val="0"/>
              <w:spacing w:before="233" w:line="218" w:lineRule="auto"/>
              <w:ind w:left="162" w:leftChars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28" w:name="_Toc17641"/>
      <w:r>
        <w:rPr>
          <w:rFonts w:hint="default"/>
          <w:lang w:val="en-US" w:eastAsia="zh-CN"/>
        </w:rPr>
        <w:t>相关文件</w:t>
      </w:r>
      <w:bookmarkEnd w:id="2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《服务改进管理制度》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9" w:name="_Toc27275"/>
      <w:r>
        <w:rPr>
          <w:rFonts w:hint="default"/>
          <w:lang w:val="en-US" w:eastAsia="zh-CN"/>
        </w:rPr>
        <w:t>记录</w:t>
      </w:r>
      <w:bookmarkEnd w:id="2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《运维服务管理评审计划》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《运维服务管理评审报告》</w:t>
      </w: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247CDEA"/>
    <w:multiLevelType w:val="singleLevel"/>
    <w:tmpl w:val="B247CDE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13F45DA"/>
    <w:multiLevelType w:val="singleLevel"/>
    <w:tmpl w:val="D13F45D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3BBC465"/>
    <w:multiLevelType w:val="singleLevel"/>
    <w:tmpl w:val="F3BBC46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224F0CC3"/>
    <w:multiLevelType w:val="singleLevel"/>
    <w:tmpl w:val="224F0CC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40E9B788"/>
    <w:multiLevelType w:val="singleLevel"/>
    <w:tmpl w:val="40E9B78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67F1F18D"/>
    <w:multiLevelType w:val="singleLevel"/>
    <w:tmpl w:val="67F1F18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681C78B6"/>
    <w:multiLevelType w:val="singleLevel"/>
    <w:tmpl w:val="681C78B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7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link w:val="3Char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Char">
    <w:name w:val="柴_标题3 Char"/>
    <w:link w:val="3"/>
    <w:qFormat/>
    <w:rPr>
      <w:rFonts w:ascii="宋体" w:eastAsia="宋体" w:hAnsi="宋体" w:cs="宋体"/>
      <w:spacing w:val="-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1875</Words>
  <Characters>1944</Characters>
  <Application>Microsoft Office Word</Application>
  <DocSecurity>0</DocSecurity>
  <Lines>0</Lines>
  <Paragraphs>0</Paragraphs>
  <ScaleCrop>false</ScaleCrop>
  <Company/>
  <LinksUpToDate>false</LinksUpToDate>
  <CharactersWithSpaces>1944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2025-12-14T16:30:29Z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