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B8945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7C35024B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运维服务内审计划</w:t>
      </w:r>
    </w:p>
    <w:p w14:paraId="10AA4340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（HXDL-ITSS-0410）</w:t>
      </w:r>
    </w:p>
    <w:p w14:paraId="0D2D730A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7695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6085CF4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45088AE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2784F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7DBADC6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CDD7C0A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2840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7B1494C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EAE725F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 w14:paraId="7B633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D39F777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70F0B0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1B131DF">
            <w:pPr>
              <w:spacing w:line="350" w:lineRule="auto"/>
              <w:rPr>
                <w:rFonts w:ascii="Arial"/>
                <w:sz w:val="21"/>
              </w:rPr>
            </w:pPr>
          </w:p>
          <w:p w14:paraId="0EFE1CAE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EE9F38C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51A9CF5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A34A41A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FB58E33">
            <w:pPr>
              <w:spacing w:line="350" w:lineRule="auto"/>
              <w:rPr>
                <w:rFonts w:ascii="Arial"/>
                <w:sz w:val="21"/>
              </w:rPr>
            </w:pPr>
          </w:p>
          <w:p w14:paraId="464A4620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673FD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AF8297D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55D61A08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4671EE3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0F42146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3437B8B5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4DB4F391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0B3634FD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4828F9C6">
            <w:pPr>
              <w:rPr>
                <w:rFonts w:ascii="Arial"/>
                <w:sz w:val="21"/>
              </w:rPr>
            </w:pPr>
          </w:p>
        </w:tc>
      </w:tr>
      <w:tr w14:paraId="25E39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41F9A16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5670D3EF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59E260D3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12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957" w:type="dxa"/>
          </w:tcPr>
          <w:p w14:paraId="0710FC18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3B431B7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12.10</w:t>
            </w:r>
          </w:p>
        </w:tc>
        <w:tc>
          <w:tcPr>
            <w:tcW w:w="1017" w:type="dxa"/>
          </w:tcPr>
          <w:p w14:paraId="509196EC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34" w:type="dxa"/>
          </w:tcPr>
          <w:p w14:paraId="6C1D3699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12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6F6DAA71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0658C7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909A335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96A01D6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2D9A914F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5BDA9168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405ADD1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8AECFD2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3DB6EE7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ED1AFC0">
            <w:pPr>
              <w:pStyle w:val="27"/>
              <w:spacing w:before="152" w:line="219" w:lineRule="auto"/>
              <w:ind w:left="436"/>
            </w:pPr>
          </w:p>
        </w:tc>
      </w:tr>
      <w:tr w14:paraId="3D8F9A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9CA5A47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30783A7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60BD1AB0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4F867D3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7E0BD208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493D699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290385CD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08002E09">
            <w:pPr>
              <w:pStyle w:val="27"/>
              <w:spacing w:before="157" w:line="219" w:lineRule="auto"/>
              <w:ind w:left="436"/>
            </w:pPr>
          </w:p>
        </w:tc>
      </w:tr>
    </w:tbl>
    <w:p w14:paraId="157B7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1AFA98F">
      <w:pPr>
        <w:spacing w:before="213" w:line="217" w:lineRule="auto"/>
        <w:ind w:left="3711"/>
        <w:outlineLvl w:val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运维服务内审计划</w:t>
      </w:r>
    </w:p>
    <w:p w14:paraId="342523A3">
      <w:pPr>
        <w:spacing w:before="208"/>
      </w:pPr>
    </w:p>
    <w:tbl>
      <w:tblPr>
        <w:tblStyle w:val="26"/>
        <w:tblW w:w="98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1"/>
        <w:gridCol w:w="4902"/>
      </w:tblGrid>
      <w:tr w14:paraId="08EE58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9803" w:type="dxa"/>
            <w:gridSpan w:val="2"/>
          </w:tcPr>
          <w:p w14:paraId="7F994902">
            <w:pPr>
              <w:spacing w:before="177" w:line="219" w:lineRule="auto"/>
              <w:ind w:left="14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8"/>
                <w:szCs w:val="28"/>
              </w:rPr>
              <w:t>审核目的：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确保体系的符合性和有效性，并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得到持续改进.</w:t>
            </w:r>
          </w:p>
        </w:tc>
      </w:tr>
      <w:tr w14:paraId="1B2A4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9803" w:type="dxa"/>
            <w:gridSpan w:val="2"/>
          </w:tcPr>
          <w:p w14:paraId="0FF836F3">
            <w:pPr>
              <w:spacing w:before="172" w:line="219" w:lineRule="auto"/>
              <w:ind w:left="13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6"/>
                <w:sz w:val="28"/>
                <w:szCs w:val="28"/>
              </w:rPr>
              <w:t>一、</w:t>
            </w:r>
            <w:r>
              <w:rPr>
                <w:rFonts w:ascii="仿宋" w:hAnsi="仿宋" w:eastAsia="仿宋" w:cs="仿宋"/>
                <w:spacing w:val="20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6"/>
                <w:sz w:val="28"/>
                <w:szCs w:val="28"/>
              </w:rPr>
              <w:t>审核范围：</w:t>
            </w:r>
          </w:p>
          <w:p w14:paraId="58E28B7C">
            <w:pPr>
              <w:spacing w:before="234" w:line="217" w:lineRule="auto"/>
              <w:ind w:left="54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ITSS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体系标准覆盖的相关部门及活动</w:t>
            </w:r>
          </w:p>
        </w:tc>
      </w:tr>
      <w:tr w14:paraId="1BA915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2" w:hRule="atLeast"/>
        </w:trPr>
        <w:tc>
          <w:tcPr>
            <w:tcW w:w="9803" w:type="dxa"/>
            <w:gridSpan w:val="2"/>
          </w:tcPr>
          <w:p w14:paraId="72E551C1">
            <w:pPr>
              <w:spacing w:before="172" w:line="219" w:lineRule="auto"/>
              <w:ind w:left="13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二、</w:t>
            </w:r>
            <w:r>
              <w:rPr>
                <w:rFonts w:ascii="仿宋" w:hAnsi="仿宋" w:eastAsia="仿宋" w:cs="仿宋"/>
                <w:spacing w:val="21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审核依据：</w:t>
            </w:r>
          </w:p>
          <w:p w14:paraId="385F3305">
            <w:pPr>
              <w:spacing w:before="233" w:line="360" w:lineRule="auto"/>
              <w:ind w:left="538" w:right="37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《信息技术服务</w:t>
            </w:r>
            <w:r>
              <w:rPr>
                <w:rFonts w:ascii="仿宋" w:hAnsi="仿宋" w:eastAsia="仿宋" w:cs="仿宋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运行维护服务能力成熟度模型》三级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《运维服务管理目标》；</w:t>
            </w:r>
          </w:p>
          <w:p w14:paraId="7E203969">
            <w:pPr>
              <w:spacing w:line="217" w:lineRule="auto"/>
              <w:ind w:left="66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公司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ITSS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管理制度及相关制度；</w:t>
            </w:r>
          </w:p>
          <w:p w14:paraId="7E03597E">
            <w:pPr>
              <w:spacing w:before="185" w:line="218" w:lineRule="auto"/>
              <w:ind w:left="6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适用的法律法规等</w:t>
            </w:r>
          </w:p>
        </w:tc>
      </w:tr>
      <w:tr w14:paraId="04240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9803" w:type="dxa"/>
            <w:gridSpan w:val="2"/>
          </w:tcPr>
          <w:p w14:paraId="121FD03B">
            <w:pPr>
              <w:spacing w:before="173" w:line="219" w:lineRule="auto"/>
              <w:ind w:left="13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三、</w:t>
            </w:r>
            <w:r>
              <w:rPr>
                <w:rFonts w:ascii="仿宋" w:hAnsi="仿宋" w:eastAsia="仿宋" w:cs="仿宋"/>
                <w:spacing w:val="22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审核时间：</w:t>
            </w:r>
          </w:p>
          <w:p w14:paraId="02167370">
            <w:pPr>
              <w:spacing w:before="234" w:line="218" w:lineRule="auto"/>
              <w:ind w:left="5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时间安排：202</w:t>
            </w: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33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33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日</w:t>
            </w:r>
            <w:r>
              <w:rPr>
                <w:rFonts w:ascii="仿宋" w:hAnsi="仿宋" w:eastAsia="仿宋" w:cs="仿宋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至 202</w:t>
            </w: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34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日</w:t>
            </w:r>
          </w:p>
          <w:p w14:paraId="2246D86D">
            <w:pPr>
              <w:spacing w:before="184" w:line="218" w:lineRule="auto"/>
              <w:ind w:left="5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会议安排：首次会议时间：</w:t>
            </w:r>
            <w:r>
              <w:rPr>
                <w:rFonts w:ascii="仿宋" w:hAnsi="仿宋" w:eastAsia="仿宋" w:cs="仿宋"/>
                <w:spacing w:val="39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39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日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9：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00时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eastAsia="zh-CN"/>
              </w:rPr>
              <w:t>，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末次会议时间：1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月1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 xml:space="preserve"> 日17:00</w:t>
            </w:r>
            <w:r>
              <w:rPr>
                <w:rFonts w:ascii="仿宋" w:hAnsi="仿宋" w:eastAsia="仿宋" w:cs="仿宋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时</w:t>
            </w:r>
          </w:p>
        </w:tc>
      </w:tr>
      <w:tr w14:paraId="35428A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3" w:hRule="atLeast"/>
        </w:trPr>
        <w:tc>
          <w:tcPr>
            <w:tcW w:w="9803" w:type="dxa"/>
            <w:gridSpan w:val="2"/>
          </w:tcPr>
          <w:p w14:paraId="3D899095">
            <w:pPr>
              <w:spacing w:before="172" w:line="231" w:lineRule="auto"/>
              <w:ind w:left="15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四、</w:t>
            </w:r>
            <w:r>
              <w:rPr>
                <w:rFonts w:ascii="仿宋" w:hAnsi="仿宋" w:eastAsia="仿宋" w:cs="仿宋"/>
                <w:spacing w:val="22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审核组成员</w:t>
            </w:r>
            <w:r>
              <w:rPr>
                <w:rFonts w:ascii="Arial" w:hAnsi="Arial" w:eastAsia="Arial" w:cs="Arial"/>
                <w:b/>
                <w:bCs/>
                <w:spacing w:val="-7"/>
                <w:sz w:val="28"/>
                <w:szCs w:val="28"/>
              </w:rPr>
              <w:t xml:space="preserve">:     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内审组长：</w:t>
            </w: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张智宏</w:t>
            </w:r>
          </w:p>
          <w:p w14:paraId="0875B5A1">
            <w:pPr>
              <w:spacing w:before="214" w:line="360" w:lineRule="auto"/>
              <w:ind w:left="1322" w:right="182" w:hanging="77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部门：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运维部、研发部、人力资源部、质量部</w:t>
            </w:r>
          </w:p>
          <w:p w14:paraId="0A301D16">
            <w:pPr>
              <w:spacing w:line="217" w:lineRule="auto"/>
              <w:ind w:left="567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审核组员：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赵川华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）、郑运龙（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）、李欣雨（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）、刘鑫楠（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</w:t>
            </w:r>
          </w:p>
        </w:tc>
      </w:tr>
      <w:tr w14:paraId="2D65F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9803" w:type="dxa"/>
            <w:gridSpan w:val="2"/>
          </w:tcPr>
          <w:p w14:paraId="6CEAD7DE">
            <w:pPr>
              <w:pStyle w:val="27"/>
              <w:spacing w:before="170" w:line="219" w:lineRule="auto"/>
              <w:ind w:left="11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b/>
                <w:bCs/>
                <w:spacing w:val="-14"/>
                <w:sz w:val="21"/>
                <w:szCs w:val="21"/>
              </w:rPr>
              <w:t>五、</w:t>
            </w:r>
            <w:r>
              <w:rPr>
                <w:spacing w:val="10"/>
                <w:sz w:val="21"/>
                <w:szCs w:val="21"/>
              </w:rPr>
              <w:t xml:space="preserve">    </w:t>
            </w:r>
            <w:r>
              <w:rPr>
                <w:rFonts w:ascii="仿宋" w:hAnsi="仿宋" w:eastAsia="仿宋" w:cs="仿宋"/>
                <w:b/>
                <w:bCs/>
                <w:spacing w:val="-14"/>
                <w:sz w:val="28"/>
                <w:szCs w:val="28"/>
              </w:rPr>
              <w:t>审核中活动：</w:t>
            </w:r>
          </w:p>
          <w:p w14:paraId="3AF1DEA9">
            <w:pPr>
              <w:spacing w:before="156" w:line="225" w:lineRule="auto"/>
              <w:ind w:left="382" w:right="2521" w:hanging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首、末次会议：最高管理者或其代表与审核有关的管理人员参加。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审核活动：按审核日程安排，被审核方有关人员在本岗位。</w:t>
            </w:r>
          </w:p>
        </w:tc>
      </w:tr>
      <w:tr w14:paraId="391C7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9803" w:type="dxa"/>
            <w:gridSpan w:val="2"/>
            <w:shd w:val="clear" w:color="auto" w:fill="auto"/>
          </w:tcPr>
          <w:p w14:paraId="0F6D0DAC">
            <w:pPr>
              <w:spacing w:before="169" w:line="234" w:lineRule="auto"/>
              <w:ind w:left="128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六、</w:t>
            </w:r>
            <w:r>
              <w:rPr>
                <w:rFonts w:ascii="仿宋" w:hAnsi="仿宋" w:eastAsia="仿宋" w:cs="仿宋"/>
                <w:spacing w:val="11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备注</w:t>
            </w:r>
            <w:r>
              <w:rPr>
                <w:rFonts w:ascii="Arial" w:hAnsi="Arial" w:eastAsia="Arial" w:cs="Arial"/>
                <w:b/>
                <w:bCs/>
                <w:spacing w:val="-10"/>
                <w:sz w:val="28"/>
                <w:szCs w:val="28"/>
              </w:rPr>
              <w:t>:</w:t>
            </w:r>
          </w:p>
          <w:p w14:paraId="6890E1B6">
            <w:pPr>
              <w:spacing w:before="132" w:line="215" w:lineRule="auto"/>
              <w:ind w:left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在内审实施中各部门要配合内审人员进行内审工作;</w:t>
            </w:r>
          </w:p>
          <w:p w14:paraId="5038EE62">
            <w:pPr>
              <w:spacing w:before="32" w:line="215" w:lineRule="auto"/>
              <w:ind w:left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在内审实施中要避免言语冲突的发生;</w:t>
            </w:r>
          </w:p>
          <w:p w14:paraId="66E87542">
            <w:pPr>
              <w:spacing w:before="110" w:line="217" w:lineRule="auto"/>
              <w:ind w:left="393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内审员对审核结果要及时记录(无论是否符合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)。</w:t>
            </w:r>
          </w:p>
        </w:tc>
      </w:tr>
      <w:tr w14:paraId="22B0E2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4901" w:type="dxa"/>
            <w:shd w:val="clear" w:color="auto" w:fill="auto"/>
          </w:tcPr>
          <w:p w14:paraId="73D0DBF9">
            <w:pPr>
              <w:spacing w:before="236" w:line="217" w:lineRule="auto"/>
              <w:ind w:left="142" w:leftChars="0"/>
              <w:rPr>
                <w:rFonts w:hint="default"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编制人：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24"/>
                <w:szCs w:val="24"/>
                <w:lang w:val="en-US" w:eastAsia="zh-CN"/>
              </w:rPr>
              <w:t>刘鑫楠</w:t>
            </w:r>
          </w:p>
        </w:tc>
        <w:tc>
          <w:tcPr>
            <w:tcW w:w="4902" w:type="dxa"/>
            <w:shd w:val="clear" w:color="auto" w:fill="auto"/>
          </w:tcPr>
          <w:p w14:paraId="5DDE7009">
            <w:pPr>
              <w:spacing w:before="236" w:line="218" w:lineRule="auto"/>
              <w:ind w:left="140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审批人：</w:t>
            </w:r>
            <w:bookmarkStart w:id="0" w:name="_GoBack"/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陈垒</w:t>
            </w:r>
            <w:bookmarkEnd w:id="0"/>
          </w:p>
        </w:tc>
      </w:tr>
    </w:tbl>
    <w:p w14:paraId="712CD101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38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597</Characters>
  <Lines>0</Lines>
  <Paragraphs>0</Paragraphs>
  <TotalTime>1</TotalTime>
  <ScaleCrop>false</ScaleCrop>
  <LinksUpToDate>false</LinksUpToDate>
  <CharactersWithSpaces>627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2026-02-15T16:16:12Z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