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AB42B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77A4DF4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运维服务内审报告</w:t>
      </w:r>
    </w:p>
    <w:p w14:paraId="0084EEA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（HXDL-ITSS-0414）</w:t>
      </w:r>
    </w:p>
    <w:p w14:paraId="14F4F165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5C7C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4357E1F0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3788A7C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113D5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15CD85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139C985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05941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557B1A1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565414F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 w14:paraId="78498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9FFCB1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41880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072855A">
            <w:pPr>
              <w:spacing w:line="350" w:lineRule="auto"/>
              <w:rPr>
                <w:rFonts w:ascii="Arial"/>
                <w:sz w:val="21"/>
              </w:rPr>
            </w:pPr>
          </w:p>
          <w:p w14:paraId="062E8378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D93D898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C4E7A2D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5812929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A012A1C">
            <w:pPr>
              <w:spacing w:line="350" w:lineRule="auto"/>
              <w:rPr>
                <w:rFonts w:ascii="Arial"/>
                <w:sz w:val="21"/>
              </w:rPr>
            </w:pPr>
          </w:p>
          <w:p w14:paraId="35C1ADB1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4DA7E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241214F7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F9FB128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8DC0CFA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CF46A53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2E1A4C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7000C9EF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5ABCD969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18A38715">
            <w:pPr>
              <w:rPr>
                <w:rFonts w:ascii="Arial"/>
                <w:sz w:val="21"/>
              </w:rPr>
            </w:pPr>
          </w:p>
        </w:tc>
      </w:tr>
      <w:tr w14:paraId="000A34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8469236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48BCCB19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5C3D2845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957" w:type="dxa"/>
          </w:tcPr>
          <w:p w14:paraId="20BE490B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D04ED1C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rFonts w:hint="eastAsia"/>
                <w:spacing w:val="-1"/>
                <w:lang w:val="en-US" w:eastAsia="zh-CN"/>
              </w:rPr>
              <w:t>.16</w:t>
            </w:r>
          </w:p>
        </w:tc>
        <w:tc>
          <w:tcPr>
            <w:tcW w:w="1017" w:type="dxa"/>
          </w:tcPr>
          <w:p w14:paraId="5CA5F135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34" w:type="dxa"/>
          </w:tcPr>
          <w:p w14:paraId="401E83E1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7F1BEE6B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307E87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D432947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D4AAF7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082D255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664F7A67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31B302CA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36927B2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7F76BA98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5FC22647">
            <w:pPr>
              <w:pStyle w:val="27"/>
              <w:spacing w:before="152" w:line="219" w:lineRule="auto"/>
              <w:ind w:left="436"/>
            </w:pPr>
          </w:p>
        </w:tc>
      </w:tr>
      <w:tr w14:paraId="043D04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1D8D03B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69795E6A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4F1DFF1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1A2CE9C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498D91F4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694572B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40207BBD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6278133A">
            <w:pPr>
              <w:pStyle w:val="27"/>
              <w:spacing w:before="157" w:line="219" w:lineRule="auto"/>
              <w:ind w:left="436"/>
            </w:pPr>
          </w:p>
        </w:tc>
      </w:tr>
    </w:tbl>
    <w:p w14:paraId="413F519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909B5F">
      <w:pPr>
        <w:pStyle w:val="28"/>
        <w:bidi w:val="0"/>
      </w:pPr>
      <w:bookmarkStart w:id="0" w:name="_Toc10367"/>
      <w:r>
        <w:t>目的</w:t>
      </w:r>
      <w:bookmarkEnd w:id="0"/>
    </w:p>
    <w:p w14:paraId="11CDAB16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为检查公司ITSS运维服务能力管理体系是否符合《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rPr>
          <w:rFonts w:hint="default"/>
        </w:rPr>
        <w:t>GB/T 28827.1-2022</w:t>
      </w:r>
      <w:r>
        <w:rPr>
          <w:rFonts w:hint="default"/>
        </w:rPr>
        <w:fldChar w:fldCharType="end"/>
      </w:r>
      <w:r>
        <w:rPr>
          <w:rFonts w:hint="eastAsia"/>
          <w:lang w:val="en-US" w:eastAsia="zh-CN"/>
        </w:rPr>
        <w:t xml:space="preserve">  </w:t>
      </w:r>
      <w:r>
        <w:t>信息技术服务  运行维护  第 1 部分：通用要求》标准并有效运行，不断自我完善。</w:t>
      </w:r>
    </w:p>
    <w:p w14:paraId="1C009635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验证运维服务管理是否符合本公司运维体系文件的规定，确保体系正常运行；</w:t>
      </w:r>
    </w:p>
    <w:p w14:paraId="37041855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检查本公司运维服务体系是否得到有效实施和保持。</w:t>
      </w:r>
    </w:p>
    <w:p w14:paraId="12B707BA">
      <w:pPr>
        <w:pStyle w:val="28"/>
        <w:bidi w:val="0"/>
        <w:rPr>
          <w:rFonts w:hint="eastAsia"/>
          <w:lang w:val="en-US" w:eastAsia="zh-CN"/>
        </w:rPr>
      </w:pPr>
      <w:bookmarkStart w:id="1" w:name="_Toc22357"/>
      <w:r>
        <w:rPr>
          <w:rFonts w:hint="eastAsia"/>
          <w:lang w:val="en-US" w:eastAsia="zh-CN"/>
        </w:rPr>
        <w:t>原则</w:t>
      </w:r>
      <w:bookmarkEnd w:id="1"/>
    </w:p>
    <w:p w14:paraId="7A6CEE6F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以事实为依据，以标准为准绳，避免主观臆断和个人偏见</w:t>
      </w:r>
    </w:p>
    <w:p w14:paraId="6B26F088">
      <w:pPr>
        <w:pStyle w:val="28"/>
        <w:bidi w:val="0"/>
      </w:pPr>
      <w:bookmarkStart w:id="2" w:name="_Toc17520"/>
      <w:r>
        <w:rPr>
          <w:rFonts w:hint="eastAsia"/>
          <w:lang w:val="en-US" w:eastAsia="zh-CN"/>
        </w:rPr>
        <w:t>适用</w:t>
      </w:r>
      <w:r>
        <w:t>范围</w:t>
      </w:r>
      <w:bookmarkEnd w:id="2"/>
    </w:p>
    <w:p w14:paraId="7F90E867">
      <w:pPr>
        <w:pStyle w:val="29"/>
        <w:bidi w:val="0"/>
      </w:pPr>
      <w:r>
        <w:t>运维服务相关部门，包括：</w:t>
      </w:r>
      <w:bookmarkStart w:id="3" w:name="3审核依据"/>
      <w:bookmarkEnd w:id="3"/>
      <w:bookmarkStart w:id="4" w:name="_bookmark2"/>
      <w:bookmarkEnd w:id="4"/>
      <w:r>
        <w:rPr>
          <w:rFonts w:hint="eastAsia"/>
        </w:rPr>
        <w:t>管理层、人力资源部、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、研发部、质量部、</w:t>
      </w:r>
      <w:r>
        <w:rPr>
          <w:rFonts w:hint="eastAsia"/>
          <w:lang w:eastAsia="zh-CN"/>
        </w:rPr>
        <w:t>采购部</w:t>
      </w:r>
      <w:r>
        <w:rPr>
          <w:rFonts w:hint="eastAsia"/>
        </w:rPr>
        <w:t>。</w:t>
      </w:r>
    </w:p>
    <w:p w14:paraId="18A53AF3">
      <w:pPr>
        <w:pStyle w:val="28"/>
        <w:bidi w:val="0"/>
        <w:rPr>
          <w:rFonts w:hint="default"/>
          <w:lang w:val="en-US" w:eastAsia="zh-CN"/>
        </w:rPr>
      </w:pPr>
      <w:bookmarkStart w:id="5" w:name="_Toc761"/>
      <w:r>
        <w:rPr>
          <w:rFonts w:hint="eastAsia"/>
          <w:lang w:val="en-US" w:eastAsia="zh-CN"/>
        </w:rPr>
        <w:t>内部审核实施情况总结</w:t>
      </w:r>
      <w:bookmarkEnd w:id="5"/>
    </w:p>
    <w:p w14:paraId="30892076">
      <w:pPr>
        <w:pStyle w:val="30"/>
        <w:bidi w:val="0"/>
        <w:rPr>
          <w:rFonts w:hint="eastAsia"/>
          <w:lang w:val="en-US" w:eastAsia="zh-CN"/>
        </w:rPr>
      </w:pPr>
      <w:bookmarkStart w:id="6" w:name="_Toc7619"/>
      <w:bookmarkStart w:id="7" w:name="_Toc16537"/>
      <w:r>
        <w:rPr>
          <w:rFonts w:hint="eastAsia"/>
          <w:lang w:val="en-US" w:eastAsia="zh-CN"/>
        </w:rPr>
        <w:t>审核安排</w:t>
      </w:r>
      <w:bookmarkEnd w:id="6"/>
      <w:bookmarkEnd w:id="7"/>
    </w:p>
    <w:p w14:paraId="77D3A528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bookmarkStart w:id="8" w:name="_Toc32298"/>
      <w:r>
        <w:t>时间安排：</w:t>
      </w:r>
      <w:bookmarkEnd w:id="8"/>
      <w:r>
        <w:t>2025.</w:t>
      </w:r>
      <w:r>
        <w:rPr>
          <w:rFonts w:hint="eastAsia"/>
          <w:lang w:eastAsia="zh-CN"/>
        </w:rPr>
        <w:t>12</w:t>
      </w:r>
      <w:r>
        <w:t>.</w:t>
      </w:r>
      <w:r>
        <w:rPr>
          <w:rFonts w:hint="eastAsia"/>
          <w:lang w:val="en-US" w:eastAsia="zh-CN"/>
        </w:rPr>
        <w:t>15</w:t>
      </w:r>
      <w:r>
        <w:t>-2025.</w:t>
      </w:r>
      <w:r>
        <w:rPr>
          <w:rFonts w:hint="eastAsia"/>
          <w:lang w:eastAsia="zh-CN"/>
        </w:rPr>
        <w:t>12</w:t>
      </w:r>
      <w:r>
        <w:t>.</w:t>
      </w:r>
      <w:bookmarkStart w:id="9" w:name="_Toc31166"/>
      <w:r>
        <w:rPr>
          <w:rFonts w:hint="eastAsia"/>
          <w:lang w:val="en-US" w:eastAsia="zh-CN"/>
        </w:rPr>
        <w:t>16</w:t>
      </w:r>
    </w:p>
    <w:p w14:paraId="71D9F5E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地点安排：公司会议室</w:t>
      </w:r>
      <w:bookmarkEnd w:id="9"/>
      <w:bookmarkStart w:id="19" w:name="_GoBack"/>
      <w:bookmarkEnd w:id="19"/>
    </w:p>
    <w:p w14:paraId="5C961848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首次会议：</w:t>
      </w:r>
      <w:r>
        <w:t>2025.</w:t>
      </w:r>
      <w:r>
        <w:rPr>
          <w:rFonts w:hint="eastAsia"/>
          <w:lang w:eastAsia="zh-CN"/>
        </w:rPr>
        <w:t>12</w:t>
      </w:r>
      <w:r>
        <w:t>.</w:t>
      </w:r>
      <w:r>
        <w:rPr>
          <w:rFonts w:hint="eastAsia"/>
          <w:lang w:val="en-US" w:eastAsia="zh-CN"/>
        </w:rPr>
        <w:t>15</w:t>
      </w:r>
      <w:r>
        <w:t xml:space="preserve">   </w:t>
      </w:r>
      <w:r>
        <w:rPr>
          <w:rFonts w:hint="eastAsia"/>
        </w:rPr>
        <w:t>9:30</w:t>
      </w:r>
    </w:p>
    <w:p w14:paraId="7074405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末次会议：</w:t>
      </w:r>
      <w:r>
        <w:t>2025.</w:t>
      </w:r>
      <w:r>
        <w:rPr>
          <w:rFonts w:hint="eastAsia"/>
          <w:lang w:eastAsia="zh-CN"/>
        </w:rPr>
        <w:t>12</w:t>
      </w:r>
      <w:r>
        <w:t>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  16:30-17:00</w:t>
      </w:r>
    </w:p>
    <w:p w14:paraId="69978F56">
      <w:pPr>
        <w:pStyle w:val="30"/>
        <w:bidi w:val="0"/>
        <w:rPr>
          <w:rFonts w:hint="eastAsia"/>
          <w:lang w:val="en-US" w:eastAsia="zh-CN"/>
        </w:rPr>
      </w:pPr>
      <w:bookmarkStart w:id="10" w:name="_Toc21096"/>
      <w:bookmarkStart w:id="11" w:name="_Toc14732"/>
      <w:r>
        <w:rPr>
          <w:rFonts w:hint="eastAsia"/>
          <w:lang w:val="en-US" w:eastAsia="zh-CN"/>
        </w:rPr>
        <w:t>审核组成员</w:t>
      </w:r>
      <w:bookmarkEnd w:id="10"/>
      <w:bookmarkEnd w:id="11"/>
    </w:p>
    <w:p w14:paraId="2CB99DBD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组长：张智宏</w:t>
      </w:r>
    </w:p>
    <w:p w14:paraId="4B2311CA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组员：</w:t>
      </w:r>
      <w:r>
        <w:rPr>
          <w:rFonts w:hint="eastAsia"/>
        </w:rPr>
        <w:t>赵川华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刘鑫楠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李欣雨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郑运龙</w:t>
      </w:r>
    </w:p>
    <w:p w14:paraId="45B35F12">
      <w:pPr>
        <w:pStyle w:val="30"/>
        <w:bidi w:val="0"/>
        <w:rPr>
          <w:rFonts w:hint="default"/>
          <w:lang w:val="en-US" w:eastAsia="zh-CN"/>
        </w:rPr>
      </w:pPr>
      <w:bookmarkStart w:id="12" w:name="_Toc19678"/>
      <w:r>
        <w:rPr>
          <w:rFonts w:hint="eastAsia"/>
          <w:lang w:val="en-US" w:eastAsia="zh-CN"/>
        </w:rPr>
        <w:t>结论</w:t>
      </w:r>
      <w:bookmarkEnd w:id="12"/>
    </w:p>
    <w:p w14:paraId="5C37B32F">
      <w:pPr>
        <w:pStyle w:val="29"/>
        <w:bidi w:val="0"/>
        <w:rPr>
          <w:rFonts w:hint="eastAsia"/>
        </w:rPr>
      </w:pPr>
      <w:r>
        <w:rPr>
          <w:rFonts w:hint="eastAsia"/>
        </w:rPr>
        <w:t>本次内部审核共发现1项不符合项，涉及运维部。2025年1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16日下午召开的末次会议上，向公司管理者代表及受审部门汇报了审核情况，宣读了《内部审核不合格报告》，并明确了纠正措施的制定与完成时限。整个审核过程得到公司领导与各部门的高度重视和密切配合，工作顺利推进，达成预期目标。</w:t>
      </w:r>
    </w:p>
    <w:p w14:paraId="2EB3437F">
      <w:pPr>
        <w:pStyle w:val="29"/>
        <w:bidi w:val="0"/>
      </w:pPr>
      <w:r>
        <w:rPr>
          <w:rFonts w:hint="eastAsia"/>
        </w:rPr>
        <w:t>此次内审有效验证，公司依据ITSS标准建立的运维服务能力管理体系已得到有效落实并运行良好，充分证明了现行管理模式的有效性。审核也反映出公司管理层在贯标工作中积极投入、以身作则，带动了全员参与，为培育质量文化奠定了基础。更重要的是，内审作为一次“管理体检”，精准识别了在文件学习、过程精细化和客户满意度管理等环节的改进机会，为管理体系的持续优化与提升指明了具体方向，切实发挥了内部审核驱动自我完善的核心作用。</w:t>
      </w:r>
    </w:p>
    <w:p w14:paraId="3B46452E">
      <w:pPr>
        <w:pStyle w:val="29"/>
        <w:bidi w:val="0"/>
      </w:pPr>
    </w:p>
    <w:p w14:paraId="15B1B5C8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3" w:name="bookmark3"/>
      <w:bookmarkEnd w:id="13"/>
      <w:bookmarkStart w:id="14" w:name="_Toc17424"/>
      <w:bookmarkStart w:id="15" w:name="_Toc24057"/>
      <w:r>
        <w:rPr>
          <w:rStyle w:val="38"/>
          <w:rFonts w:hint="eastAsia" w:eastAsia="宋体"/>
          <w:lang w:val="en-US" w:eastAsia="zh-CN"/>
        </w:rPr>
        <w:t>附则</w:t>
      </w:r>
      <w:bookmarkEnd w:id="14"/>
      <w:bookmarkEnd w:id="15"/>
    </w:p>
    <w:p w14:paraId="1FED1DBD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bookmarkStart w:id="16" w:name="bookmark14"/>
      <w:bookmarkEnd w:id="16"/>
      <w:r>
        <w:t>GB/T 28827.1-2022《信息技术服务  运行维护  第 1 部分：通用要求》；</w:t>
      </w:r>
    </w:p>
    <w:p w14:paraId="40BBDA4D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28827.2-2012《信息技术服务 运行维护 第 2 部分:交付规范》；</w:t>
      </w:r>
    </w:p>
    <w:p w14:paraId="76B1B463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28827.3-2012《信息技术服务 运行维护 第 3 部分:应急响应规范》；</w:t>
      </w:r>
    </w:p>
    <w:p w14:paraId="26EA61D1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ITSS运维服务能力管理体系文件；</w:t>
      </w:r>
    </w:p>
    <w:p w14:paraId="3A6E0E3D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T/CESA 1299—2023《信息技术服务 运行维护服务能力成熟度模型》；</w:t>
      </w:r>
    </w:p>
    <w:p w14:paraId="4DCC0045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《服务级别协议》；</w:t>
      </w:r>
    </w:p>
    <w:p w14:paraId="3CD90A75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相关的法律法规要求。</w:t>
      </w:r>
    </w:p>
    <w:p w14:paraId="6F0E5303">
      <w:pPr>
        <w:pStyle w:val="28"/>
        <w:bidi w:val="0"/>
        <w:rPr>
          <w:rFonts w:hint="default"/>
          <w:lang w:val="en-US" w:eastAsia="zh-CN"/>
        </w:rPr>
      </w:pPr>
      <w:bookmarkStart w:id="17" w:name="_Toc3108"/>
      <w:r>
        <w:rPr>
          <w:rFonts w:hint="eastAsia"/>
          <w:lang w:val="en-US" w:eastAsia="zh-CN"/>
        </w:rPr>
        <w:t>附件</w:t>
      </w:r>
      <w:bookmarkEnd w:id="17"/>
    </w:p>
    <w:p w14:paraId="5B0FABF9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《内部审核不符合报告》</w:t>
      </w:r>
    </w:p>
    <w:p w14:paraId="7F62D263">
      <w:pPr>
        <w:pStyle w:val="3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《2025年内部审核计划》</w:t>
      </w:r>
    </w:p>
    <w:p w14:paraId="1FE53533">
      <w:pPr>
        <w:pStyle w:val="28"/>
        <w:bidi w:val="0"/>
        <w:rPr>
          <w:rFonts w:hint="eastAsia"/>
          <w:lang w:val="en-US" w:eastAsia="zh-CN"/>
        </w:rPr>
      </w:pPr>
      <w:bookmarkStart w:id="18" w:name="_Toc29792"/>
      <w:r>
        <w:rPr>
          <w:rFonts w:hint="eastAsia"/>
          <w:lang w:val="en-US" w:eastAsia="zh-CN"/>
        </w:rPr>
        <w:t>记录</w:t>
      </w:r>
      <w:bookmarkEnd w:id="18"/>
    </w:p>
    <w:p w14:paraId="605BD313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25EE3">
    <w:pPr>
      <w:pStyle w:val="15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ED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1072</Characters>
  <Lines>0</Lines>
  <Paragraphs>0</Paragraphs>
  <TotalTime>29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2026-02-15T16:22:18Z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44D9733C8AE7446AB80FFF3DF54FD260_13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