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E4C52A">
      <w:pPr>
        <w:pStyle w:val="24"/>
        <w:bidi w:val="0"/>
        <w:ind w:left="0" w:leftChars="0" w:right="0" w:rightChars="0" w:firstLine="0" w:firstLineChars="0"/>
        <w:jc w:val="center"/>
        <w:rPr>
          <w:rFonts w:hint="default"/>
          <w:lang w:val="en-US" w:eastAsia="zh-CN"/>
        </w:rPr>
      </w:pPr>
      <w:r>
        <w:rPr>
          <w:rFonts w:hint="eastAsia"/>
          <w:lang w:val="en-US" w:eastAsia="zh-CN"/>
        </w:rPr>
        <w:t>天津市华夏电缆有限公司</w:t>
      </w:r>
    </w:p>
    <w:p w14:paraId="5E6BE425">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运维服务质量管理报告</w:t>
      </w:r>
    </w:p>
    <w:p w14:paraId="0262A515">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（HXDL-ITSS-0418）</w:t>
      </w:r>
    </w:p>
    <w:p w14:paraId="4E979D11">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EF17F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CE73064">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787092E1">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45A19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161397BA">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190492EE">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r w14:paraId="7D1C9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1A244B94">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36349D67">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2025.12.30</w:t>
            </w:r>
          </w:p>
        </w:tc>
      </w:tr>
    </w:tbl>
    <w:p w14:paraId="0466091C">
      <w:pPr>
        <w:rPr>
          <w:rFonts w:hint="default"/>
          <w:lang w:val="en-US" w:eastAsia="zh-CN"/>
        </w:rPr>
      </w:pPr>
      <w:r>
        <w:rPr>
          <w:rFonts w:hint="default"/>
          <w:lang w:val="en-US" w:eastAsia="zh-CN"/>
        </w:rPr>
        <w:br w:type="page"/>
      </w:r>
    </w:p>
    <w:p w14:paraId="162332A2">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82"/>
        <w:gridCol w:w="1172"/>
      </w:tblGrid>
      <w:tr w14:paraId="1531FC2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6873330">
            <w:pPr>
              <w:spacing w:line="350" w:lineRule="auto"/>
              <w:rPr>
                <w:rFonts w:ascii="Arial"/>
                <w:sz w:val="21"/>
              </w:rPr>
            </w:pPr>
          </w:p>
          <w:p w14:paraId="5DF9AE48">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3868A14E">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23E9319B">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99" w:type="dxa"/>
            <w:gridSpan w:val="2"/>
            <w:tcBorders>
              <w:top w:val="single" w:color="000000" w:sz="10" w:space="0"/>
            </w:tcBorders>
            <w:shd w:val="clear" w:color="auto" w:fill="D9D9D9"/>
          </w:tcPr>
          <w:p w14:paraId="7CE14AD1">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172" w:type="dxa"/>
            <w:vMerge w:val="restart"/>
            <w:tcBorders>
              <w:top w:val="single" w:color="000000" w:sz="10" w:space="0"/>
              <w:bottom w:val="nil"/>
              <w:right w:val="single" w:color="000000" w:sz="10" w:space="0"/>
            </w:tcBorders>
            <w:shd w:val="clear" w:color="auto" w:fill="D9D9D9"/>
          </w:tcPr>
          <w:p w14:paraId="0FB82A6E">
            <w:pPr>
              <w:spacing w:line="350" w:lineRule="auto"/>
              <w:rPr>
                <w:rFonts w:ascii="Arial"/>
                <w:sz w:val="21"/>
              </w:rPr>
            </w:pPr>
          </w:p>
          <w:p w14:paraId="1317B863">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27AC1A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FC52152">
            <w:pPr>
              <w:rPr>
                <w:rFonts w:ascii="Arial"/>
                <w:sz w:val="21"/>
              </w:rPr>
            </w:pPr>
          </w:p>
        </w:tc>
        <w:tc>
          <w:tcPr>
            <w:tcW w:w="881" w:type="dxa"/>
            <w:shd w:val="clear" w:color="auto" w:fill="D9D9D9"/>
          </w:tcPr>
          <w:p w14:paraId="616EE5D0">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F8E8222">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453400B">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156D83C0">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2EDE15A5">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82" w:type="dxa"/>
            <w:shd w:val="clear" w:color="auto" w:fill="D9D9D9"/>
          </w:tcPr>
          <w:p w14:paraId="3982E42F">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172" w:type="dxa"/>
            <w:vMerge w:val="continue"/>
            <w:tcBorders>
              <w:top w:val="nil"/>
              <w:right w:val="single" w:color="000000" w:sz="10" w:space="0"/>
            </w:tcBorders>
          </w:tcPr>
          <w:p w14:paraId="26436284">
            <w:pPr>
              <w:rPr>
                <w:rFonts w:ascii="Arial"/>
                <w:sz w:val="21"/>
              </w:rPr>
            </w:pPr>
          </w:p>
        </w:tc>
      </w:tr>
      <w:tr w14:paraId="395D79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5FA914FC">
            <w:pPr>
              <w:pStyle w:val="27"/>
              <w:spacing w:before="230" w:line="237" w:lineRule="auto"/>
              <w:ind w:left="195"/>
            </w:pPr>
            <w:r>
              <w:rPr>
                <w:spacing w:val="-1"/>
              </w:rPr>
              <w:t>V1.0</w:t>
            </w:r>
          </w:p>
        </w:tc>
        <w:tc>
          <w:tcPr>
            <w:tcW w:w="881" w:type="dxa"/>
          </w:tcPr>
          <w:p w14:paraId="326B7536">
            <w:pPr>
              <w:pStyle w:val="27"/>
              <w:spacing w:before="230" w:line="219" w:lineRule="auto"/>
              <w:ind w:left="125"/>
            </w:pPr>
            <w:r>
              <w:rPr>
                <w:rFonts w:hint="eastAsia"/>
                <w:spacing w:val="-4"/>
              </w:rPr>
              <w:t>刘鑫楠</w:t>
            </w:r>
          </w:p>
        </w:tc>
        <w:tc>
          <w:tcPr>
            <w:tcW w:w="1274" w:type="dxa"/>
          </w:tcPr>
          <w:p w14:paraId="0C226F3B">
            <w:pPr>
              <w:pStyle w:val="27"/>
              <w:spacing w:before="230" w:line="237" w:lineRule="auto"/>
              <w:ind w:left="104"/>
              <w:rPr>
                <w:rFonts w:hint="default" w:eastAsia="宋体"/>
                <w:lang w:val="en-US" w:eastAsia="zh-CN"/>
              </w:rPr>
            </w:pPr>
            <w:r>
              <w:rPr>
                <w:spacing w:val="-1"/>
              </w:rPr>
              <w:t>2025.</w:t>
            </w:r>
            <w:r>
              <w:rPr>
                <w:rFonts w:hint="eastAsia"/>
                <w:spacing w:val="-1"/>
                <w:lang w:eastAsia="zh-CN"/>
              </w:rPr>
              <w:t>12</w:t>
            </w:r>
            <w:r>
              <w:rPr>
                <w:rFonts w:hint="eastAsia"/>
                <w:spacing w:val="-1"/>
                <w:lang w:val="en-US" w:eastAsia="zh-CN"/>
              </w:rPr>
              <w:t>.30</w:t>
            </w:r>
          </w:p>
        </w:tc>
        <w:tc>
          <w:tcPr>
            <w:tcW w:w="957" w:type="dxa"/>
          </w:tcPr>
          <w:p w14:paraId="2CB1C2A2">
            <w:pPr>
              <w:pStyle w:val="27"/>
              <w:spacing w:before="230" w:line="219" w:lineRule="auto"/>
              <w:ind w:left="168"/>
            </w:pPr>
            <w:r>
              <w:rPr>
                <w:spacing w:val="-4"/>
              </w:rPr>
              <w:t>张智宏</w:t>
            </w:r>
          </w:p>
        </w:tc>
        <w:tc>
          <w:tcPr>
            <w:tcW w:w="1377" w:type="dxa"/>
          </w:tcPr>
          <w:p w14:paraId="209074F7">
            <w:pPr>
              <w:pStyle w:val="27"/>
              <w:spacing w:before="230" w:line="237" w:lineRule="auto"/>
              <w:ind w:left="161"/>
              <w:rPr>
                <w:rFonts w:hint="default"/>
                <w:lang w:val="en-US"/>
              </w:rPr>
            </w:pPr>
            <w:r>
              <w:rPr>
                <w:spacing w:val="-1"/>
              </w:rPr>
              <w:t>2025.</w:t>
            </w:r>
            <w:r>
              <w:rPr>
                <w:rFonts w:hint="eastAsia"/>
                <w:spacing w:val="-1"/>
                <w:lang w:eastAsia="zh-CN"/>
              </w:rPr>
              <w:t>12</w:t>
            </w:r>
            <w:r>
              <w:rPr>
                <w:rFonts w:hint="eastAsia"/>
                <w:spacing w:val="-1"/>
                <w:lang w:val="en-US" w:eastAsia="zh-CN"/>
              </w:rPr>
              <w:t>.30</w:t>
            </w:r>
          </w:p>
        </w:tc>
        <w:tc>
          <w:tcPr>
            <w:tcW w:w="1017" w:type="dxa"/>
          </w:tcPr>
          <w:p w14:paraId="1011CBCB">
            <w:pPr>
              <w:pStyle w:val="27"/>
              <w:spacing w:before="230" w:line="220" w:lineRule="auto"/>
              <w:ind w:left="202"/>
            </w:pPr>
            <w:r>
              <w:rPr>
                <w:spacing w:val="-3"/>
              </w:rPr>
              <w:t>陈垒</w:t>
            </w:r>
          </w:p>
        </w:tc>
        <w:tc>
          <w:tcPr>
            <w:tcW w:w="1482" w:type="dxa"/>
          </w:tcPr>
          <w:p w14:paraId="5C9CC053">
            <w:pPr>
              <w:pStyle w:val="27"/>
              <w:spacing w:before="230" w:line="237" w:lineRule="auto"/>
              <w:ind w:left="220"/>
              <w:rPr>
                <w:rFonts w:hint="default"/>
                <w:lang w:val="en-US"/>
              </w:rPr>
            </w:pPr>
            <w:r>
              <w:rPr>
                <w:spacing w:val="-1"/>
              </w:rPr>
              <w:t>2025.</w:t>
            </w:r>
            <w:r>
              <w:rPr>
                <w:rFonts w:hint="eastAsia"/>
                <w:spacing w:val="-1"/>
                <w:lang w:eastAsia="zh-CN"/>
              </w:rPr>
              <w:t>12</w:t>
            </w:r>
            <w:r>
              <w:rPr>
                <w:rFonts w:hint="eastAsia"/>
                <w:spacing w:val="-1"/>
                <w:lang w:val="en-US" w:eastAsia="zh-CN"/>
              </w:rPr>
              <w:t>.30</w:t>
            </w:r>
          </w:p>
        </w:tc>
        <w:tc>
          <w:tcPr>
            <w:tcW w:w="1172" w:type="dxa"/>
            <w:tcBorders>
              <w:right w:val="single" w:color="000000" w:sz="10" w:space="0"/>
            </w:tcBorders>
          </w:tcPr>
          <w:p w14:paraId="2B470039">
            <w:pPr>
              <w:pStyle w:val="27"/>
              <w:spacing w:before="230" w:line="217" w:lineRule="auto"/>
              <w:ind w:left="341"/>
            </w:pPr>
            <w:r>
              <w:rPr>
                <w:spacing w:val="-5"/>
              </w:rPr>
              <w:t>首次发布</w:t>
            </w:r>
          </w:p>
        </w:tc>
      </w:tr>
      <w:tr w14:paraId="7B0C508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A85B9D8">
            <w:pPr>
              <w:pStyle w:val="27"/>
              <w:spacing w:before="152" w:line="237" w:lineRule="auto"/>
              <w:ind w:left="195"/>
            </w:pPr>
          </w:p>
        </w:tc>
        <w:tc>
          <w:tcPr>
            <w:tcW w:w="881" w:type="dxa"/>
          </w:tcPr>
          <w:p w14:paraId="276621DB">
            <w:pPr>
              <w:pStyle w:val="27"/>
              <w:spacing w:before="152" w:line="219" w:lineRule="auto"/>
              <w:ind w:left="125"/>
            </w:pPr>
          </w:p>
        </w:tc>
        <w:tc>
          <w:tcPr>
            <w:tcW w:w="1274" w:type="dxa"/>
          </w:tcPr>
          <w:p w14:paraId="671872A4">
            <w:pPr>
              <w:pStyle w:val="27"/>
              <w:spacing w:before="152" w:line="237" w:lineRule="auto"/>
              <w:ind w:left="210"/>
            </w:pPr>
          </w:p>
        </w:tc>
        <w:tc>
          <w:tcPr>
            <w:tcW w:w="957" w:type="dxa"/>
          </w:tcPr>
          <w:p w14:paraId="66FF3F76">
            <w:pPr>
              <w:pStyle w:val="27"/>
              <w:spacing w:before="152" w:line="219" w:lineRule="auto"/>
              <w:ind w:left="168"/>
            </w:pPr>
          </w:p>
        </w:tc>
        <w:tc>
          <w:tcPr>
            <w:tcW w:w="1377" w:type="dxa"/>
          </w:tcPr>
          <w:p w14:paraId="14E537A3">
            <w:pPr>
              <w:pStyle w:val="27"/>
              <w:spacing w:before="152" w:line="237" w:lineRule="auto"/>
              <w:ind w:left="267"/>
            </w:pPr>
          </w:p>
        </w:tc>
        <w:tc>
          <w:tcPr>
            <w:tcW w:w="1017" w:type="dxa"/>
          </w:tcPr>
          <w:p w14:paraId="73AB3FDC">
            <w:pPr>
              <w:pStyle w:val="27"/>
              <w:spacing w:before="152" w:line="220" w:lineRule="auto"/>
              <w:ind w:left="202"/>
            </w:pPr>
          </w:p>
        </w:tc>
        <w:tc>
          <w:tcPr>
            <w:tcW w:w="1482" w:type="dxa"/>
          </w:tcPr>
          <w:p w14:paraId="0B5FAA02">
            <w:pPr>
              <w:pStyle w:val="27"/>
              <w:spacing w:before="152" w:line="237" w:lineRule="auto"/>
              <w:ind w:left="220"/>
            </w:pPr>
          </w:p>
        </w:tc>
        <w:tc>
          <w:tcPr>
            <w:tcW w:w="1172" w:type="dxa"/>
            <w:tcBorders>
              <w:right w:val="single" w:color="000000" w:sz="10" w:space="0"/>
            </w:tcBorders>
          </w:tcPr>
          <w:p w14:paraId="7C92E556">
            <w:pPr>
              <w:pStyle w:val="27"/>
              <w:spacing w:before="152" w:line="219" w:lineRule="auto"/>
              <w:ind w:left="436"/>
            </w:pPr>
          </w:p>
        </w:tc>
      </w:tr>
      <w:tr w14:paraId="531BA6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1F6B7C4A">
            <w:pPr>
              <w:pStyle w:val="27"/>
              <w:spacing w:before="157" w:line="237" w:lineRule="auto"/>
              <w:ind w:left="195"/>
            </w:pPr>
          </w:p>
        </w:tc>
        <w:tc>
          <w:tcPr>
            <w:tcW w:w="881" w:type="dxa"/>
            <w:tcBorders>
              <w:bottom w:val="single" w:color="000000" w:sz="10" w:space="0"/>
            </w:tcBorders>
          </w:tcPr>
          <w:p w14:paraId="41C16AF1">
            <w:pPr>
              <w:pStyle w:val="27"/>
              <w:spacing w:before="157" w:line="219" w:lineRule="auto"/>
              <w:ind w:left="125"/>
            </w:pPr>
          </w:p>
        </w:tc>
        <w:tc>
          <w:tcPr>
            <w:tcW w:w="1274" w:type="dxa"/>
            <w:tcBorders>
              <w:bottom w:val="single" w:color="000000" w:sz="10" w:space="0"/>
            </w:tcBorders>
          </w:tcPr>
          <w:p w14:paraId="481760B6">
            <w:pPr>
              <w:pStyle w:val="27"/>
              <w:spacing w:before="157" w:line="237" w:lineRule="auto"/>
              <w:ind w:left="210"/>
            </w:pPr>
          </w:p>
        </w:tc>
        <w:tc>
          <w:tcPr>
            <w:tcW w:w="957" w:type="dxa"/>
            <w:tcBorders>
              <w:bottom w:val="single" w:color="000000" w:sz="10" w:space="0"/>
            </w:tcBorders>
          </w:tcPr>
          <w:p w14:paraId="06D6990E">
            <w:pPr>
              <w:pStyle w:val="27"/>
              <w:spacing w:before="157" w:line="218" w:lineRule="auto"/>
              <w:ind w:left="164"/>
            </w:pPr>
          </w:p>
        </w:tc>
        <w:tc>
          <w:tcPr>
            <w:tcW w:w="1377" w:type="dxa"/>
            <w:tcBorders>
              <w:bottom w:val="single" w:color="000000" w:sz="10" w:space="0"/>
            </w:tcBorders>
          </w:tcPr>
          <w:p w14:paraId="3F0B83DE">
            <w:pPr>
              <w:pStyle w:val="27"/>
              <w:spacing w:before="157" w:line="237" w:lineRule="auto"/>
              <w:ind w:left="267"/>
            </w:pPr>
          </w:p>
        </w:tc>
        <w:tc>
          <w:tcPr>
            <w:tcW w:w="1017" w:type="dxa"/>
            <w:tcBorders>
              <w:bottom w:val="single" w:color="000000" w:sz="10" w:space="0"/>
            </w:tcBorders>
          </w:tcPr>
          <w:p w14:paraId="0B2E7C5F">
            <w:pPr>
              <w:pStyle w:val="27"/>
              <w:spacing w:before="157" w:line="220" w:lineRule="auto"/>
              <w:ind w:left="202"/>
            </w:pPr>
          </w:p>
        </w:tc>
        <w:tc>
          <w:tcPr>
            <w:tcW w:w="1482" w:type="dxa"/>
            <w:tcBorders>
              <w:bottom w:val="single" w:color="000000" w:sz="10" w:space="0"/>
            </w:tcBorders>
          </w:tcPr>
          <w:p w14:paraId="0426E6EB">
            <w:pPr>
              <w:pStyle w:val="27"/>
              <w:spacing w:before="157" w:line="237" w:lineRule="auto"/>
              <w:ind w:left="220"/>
            </w:pPr>
          </w:p>
        </w:tc>
        <w:tc>
          <w:tcPr>
            <w:tcW w:w="1172" w:type="dxa"/>
            <w:tcBorders>
              <w:bottom w:val="single" w:color="000000" w:sz="10" w:space="0"/>
              <w:right w:val="single" w:color="000000" w:sz="10" w:space="0"/>
            </w:tcBorders>
          </w:tcPr>
          <w:p w14:paraId="7E5818B4">
            <w:pPr>
              <w:pStyle w:val="27"/>
              <w:spacing w:before="157" w:line="219" w:lineRule="auto"/>
              <w:ind w:left="436"/>
            </w:pPr>
          </w:p>
        </w:tc>
      </w:tr>
    </w:tbl>
    <w:p w14:paraId="013070BE">
      <w:pPr>
        <w:rPr>
          <w:rFonts w:hint="default"/>
          <w:lang w:val="en-US" w:eastAsia="zh-CN"/>
        </w:rPr>
      </w:pPr>
      <w:r>
        <w:rPr>
          <w:rFonts w:hint="default"/>
          <w:lang w:val="en-US" w:eastAsia="zh-CN"/>
        </w:rPr>
        <w:br w:type="page"/>
      </w:r>
    </w:p>
    <w:p w14:paraId="52E07D88">
      <w:pPr>
        <w:pStyle w:val="30"/>
        <w:bidi w:val="0"/>
      </w:pPr>
      <w:bookmarkStart w:id="0" w:name="_Toc19128"/>
      <w:r>
        <w:t>目的</w:t>
      </w:r>
      <w:bookmarkEnd w:id="0"/>
    </w:p>
    <w:p w14:paraId="7A9A830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依据我公司运维服务业务定位和能力，策划</w:t>
      </w:r>
      <w:r>
        <w:rPr>
          <w:rFonts w:ascii="宋体" w:hAnsi="宋体" w:eastAsia="宋体" w:cs="宋体"/>
          <w:spacing w:val="-1"/>
          <w:sz w:val="24"/>
          <w:szCs w:val="24"/>
        </w:rPr>
        <w:t>运行维护服务对象的服务内容</w:t>
      </w:r>
      <w:r>
        <w:rPr>
          <w:rFonts w:ascii="宋体" w:hAnsi="宋体" w:eastAsia="宋体" w:cs="宋体"/>
          <w:spacing w:val="-4"/>
          <w:sz w:val="24"/>
          <w:szCs w:val="24"/>
        </w:rPr>
        <w:t>和要求，特编制此报告。</w:t>
      </w:r>
    </w:p>
    <w:p w14:paraId="7DFD103C">
      <w:pPr>
        <w:pStyle w:val="30"/>
        <w:bidi w:val="0"/>
      </w:pPr>
      <w:bookmarkStart w:id="1" w:name="_Toc3319"/>
      <w:r>
        <w:t>适用范围</w:t>
      </w:r>
      <w:bookmarkEnd w:id="1"/>
    </w:p>
    <w:p w14:paraId="2CB04E4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4" w:firstLineChars="200"/>
        <w:textAlignment w:val="baseline"/>
        <w:rPr>
          <w:rFonts w:ascii="宋体" w:hAnsi="宋体" w:eastAsia="宋体" w:cs="宋体"/>
          <w:spacing w:val="-4"/>
          <w:sz w:val="24"/>
          <w:szCs w:val="24"/>
        </w:rPr>
      </w:pPr>
      <w:r>
        <w:rPr>
          <w:rFonts w:ascii="宋体" w:hAnsi="宋体" w:eastAsia="宋体" w:cs="宋体"/>
          <w:spacing w:val="-4"/>
          <w:sz w:val="24"/>
          <w:szCs w:val="24"/>
        </w:rPr>
        <w:t>本手册适用于本公司参与运维服务业务的部门和人员</w:t>
      </w:r>
    </w:p>
    <w:p w14:paraId="5F32DA86">
      <w:pPr>
        <w:pStyle w:val="30"/>
        <w:bidi w:val="0"/>
      </w:pPr>
      <w:bookmarkStart w:id="2" w:name="_Toc2355"/>
      <w:r>
        <w:t>引用文件</w:t>
      </w:r>
      <w:bookmarkEnd w:id="2"/>
    </w:p>
    <w:p w14:paraId="0E6A37B5">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53E5BC70">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68C3F46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4F2FEC86">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119847B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0DD172E6">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529C90CC">
      <w:pPr>
        <w:pStyle w:val="30"/>
        <w:bidi w:val="0"/>
      </w:pPr>
      <w:bookmarkStart w:id="3" w:name="_Toc5127"/>
      <w:r>
        <w:t>术语与定义</w:t>
      </w:r>
      <w:bookmarkEnd w:id="3"/>
    </w:p>
    <w:p w14:paraId="7CAFFCDD">
      <w:pPr>
        <w:spacing w:before="120" w:line="220" w:lineRule="auto"/>
        <w:ind w:left="724"/>
        <w:rPr>
          <w:rFonts w:ascii="宋体" w:hAnsi="宋体" w:eastAsia="宋体" w:cs="宋体"/>
          <w:sz w:val="24"/>
          <w:szCs w:val="24"/>
        </w:rPr>
      </w:pPr>
      <w:r>
        <w:rPr>
          <w:rFonts w:ascii="宋体" w:hAnsi="宋体" w:eastAsia="宋体" w:cs="宋体"/>
          <w:sz w:val="24"/>
          <w:szCs w:val="24"/>
        </w:rPr>
        <w:t>无</w:t>
      </w:r>
    </w:p>
    <w:p w14:paraId="7A1249EC">
      <w:pPr>
        <w:pStyle w:val="30"/>
        <w:bidi w:val="0"/>
      </w:pPr>
      <w:bookmarkStart w:id="4" w:name="_Toc23453"/>
      <w:r>
        <w:t>角色与职责</w:t>
      </w:r>
      <w:bookmarkEnd w:id="4"/>
    </w:p>
    <w:p w14:paraId="1791B662">
      <w:pPr>
        <w:spacing w:line="76" w:lineRule="exact"/>
      </w:pPr>
    </w:p>
    <w:tbl>
      <w:tblPr>
        <w:tblStyle w:val="28"/>
        <w:tblW w:w="852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42"/>
        <w:gridCol w:w="2422"/>
        <w:gridCol w:w="3257"/>
      </w:tblGrid>
      <w:tr w14:paraId="41FEA4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3" w:hRule="atLeast"/>
        </w:trPr>
        <w:tc>
          <w:tcPr>
            <w:tcW w:w="2842" w:type="dxa"/>
            <w:shd w:val="clear" w:color="auto" w:fill="BFBFBF"/>
          </w:tcPr>
          <w:p w14:paraId="6F700719">
            <w:pPr>
              <w:pStyle w:val="27"/>
              <w:spacing w:before="59" w:line="219" w:lineRule="auto"/>
              <w:ind w:left="1217"/>
              <w:rPr>
                <w:sz w:val="21"/>
                <w:szCs w:val="21"/>
              </w:rPr>
            </w:pPr>
            <w:r>
              <w:rPr>
                <w:spacing w:val="-3"/>
                <w:sz w:val="21"/>
                <w:szCs w:val="21"/>
              </w:rPr>
              <w:t>角色</w:t>
            </w:r>
          </w:p>
        </w:tc>
        <w:tc>
          <w:tcPr>
            <w:tcW w:w="2422" w:type="dxa"/>
            <w:shd w:val="clear" w:color="auto" w:fill="BFBFBF"/>
          </w:tcPr>
          <w:p w14:paraId="0872CD6D">
            <w:pPr>
              <w:pStyle w:val="27"/>
              <w:spacing w:before="59" w:line="221" w:lineRule="auto"/>
              <w:ind w:left="1005"/>
              <w:rPr>
                <w:sz w:val="21"/>
                <w:szCs w:val="21"/>
              </w:rPr>
            </w:pPr>
            <w:r>
              <w:rPr>
                <w:spacing w:val="-3"/>
                <w:sz w:val="21"/>
                <w:szCs w:val="21"/>
              </w:rPr>
              <w:t>职责</w:t>
            </w:r>
          </w:p>
        </w:tc>
        <w:tc>
          <w:tcPr>
            <w:tcW w:w="3257" w:type="dxa"/>
            <w:shd w:val="clear" w:color="auto" w:fill="BFBFBF"/>
          </w:tcPr>
          <w:p w14:paraId="4E877ACF">
            <w:pPr>
              <w:pStyle w:val="27"/>
              <w:spacing w:before="59" w:line="219" w:lineRule="auto"/>
              <w:ind w:right="2"/>
              <w:jc w:val="right"/>
              <w:rPr>
                <w:sz w:val="21"/>
                <w:szCs w:val="21"/>
              </w:rPr>
            </w:pPr>
            <w:r>
              <w:rPr>
                <w:spacing w:val="-3"/>
                <w:sz w:val="21"/>
                <w:szCs w:val="21"/>
              </w:rPr>
              <w:t>岗位（要以岗位职责说明书确定）</w:t>
            </w:r>
          </w:p>
        </w:tc>
      </w:tr>
      <w:tr w14:paraId="2665FD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tcPr>
          <w:p w14:paraId="569CD537">
            <w:pPr>
              <w:pStyle w:val="27"/>
              <w:spacing w:before="57" w:line="220" w:lineRule="auto"/>
              <w:ind w:left="110"/>
              <w:rPr>
                <w:sz w:val="21"/>
                <w:szCs w:val="21"/>
              </w:rPr>
            </w:pPr>
            <w:r>
              <w:rPr>
                <w:spacing w:val="-2"/>
                <w:sz w:val="21"/>
                <w:szCs w:val="21"/>
              </w:rPr>
              <w:t>程序起草人</w:t>
            </w:r>
          </w:p>
        </w:tc>
        <w:tc>
          <w:tcPr>
            <w:tcW w:w="2422" w:type="dxa"/>
          </w:tcPr>
          <w:p w14:paraId="394C2C60">
            <w:pPr>
              <w:pStyle w:val="27"/>
              <w:spacing w:before="58" w:line="218" w:lineRule="auto"/>
              <w:ind w:left="118"/>
              <w:rPr>
                <w:sz w:val="21"/>
                <w:szCs w:val="21"/>
              </w:rPr>
            </w:pPr>
            <w:r>
              <w:rPr>
                <w:spacing w:val="-2"/>
                <w:sz w:val="21"/>
                <w:szCs w:val="21"/>
              </w:rPr>
              <w:t>负责报告的编写及完善</w:t>
            </w:r>
          </w:p>
        </w:tc>
        <w:tc>
          <w:tcPr>
            <w:tcW w:w="3257" w:type="dxa"/>
          </w:tcPr>
          <w:p w14:paraId="06998B92">
            <w:pPr>
              <w:pStyle w:val="27"/>
              <w:spacing w:before="57" w:line="220" w:lineRule="auto"/>
              <w:ind w:left="114"/>
              <w:rPr>
                <w:rFonts w:hint="default" w:eastAsia="宋体"/>
                <w:sz w:val="21"/>
                <w:szCs w:val="21"/>
                <w:lang w:val="en-US" w:eastAsia="zh-CN"/>
              </w:rPr>
            </w:pPr>
            <w:r>
              <w:rPr>
                <w:spacing w:val="-2"/>
                <w:sz w:val="21"/>
                <w:szCs w:val="21"/>
              </w:rPr>
              <w:t>质量部</w:t>
            </w:r>
            <w:r>
              <w:rPr>
                <w:rFonts w:hint="eastAsia"/>
                <w:spacing w:val="-2"/>
                <w:sz w:val="21"/>
                <w:szCs w:val="21"/>
                <w:lang w:val="en-US" w:eastAsia="zh-CN"/>
              </w:rPr>
              <w:t>经理</w:t>
            </w:r>
          </w:p>
        </w:tc>
      </w:tr>
      <w:tr w14:paraId="52C8BF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tcPr>
          <w:p w14:paraId="6EA1A10C">
            <w:pPr>
              <w:pStyle w:val="27"/>
              <w:spacing w:before="60" w:line="220" w:lineRule="auto"/>
              <w:ind w:left="110"/>
              <w:rPr>
                <w:sz w:val="21"/>
                <w:szCs w:val="21"/>
              </w:rPr>
            </w:pPr>
            <w:r>
              <w:rPr>
                <w:spacing w:val="-2"/>
                <w:sz w:val="21"/>
                <w:szCs w:val="21"/>
              </w:rPr>
              <w:t>程序审核人</w:t>
            </w:r>
          </w:p>
        </w:tc>
        <w:tc>
          <w:tcPr>
            <w:tcW w:w="2422" w:type="dxa"/>
          </w:tcPr>
          <w:p w14:paraId="1115939C">
            <w:pPr>
              <w:pStyle w:val="27"/>
              <w:spacing w:before="59" w:line="220" w:lineRule="auto"/>
              <w:ind w:left="118"/>
              <w:rPr>
                <w:sz w:val="21"/>
                <w:szCs w:val="21"/>
              </w:rPr>
            </w:pPr>
            <w:r>
              <w:rPr>
                <w:spacing w:val="-4"/>
                <w:sz w:val="21"/>
                <w:szCs w:val="21"/>
              </w:rPr>
              <w:t>负责审核</w:t>
            </w:r>
          </w:p>
        </w:tc>
        <w:tc>
          <w:tcPr>
            <w:tcW w:w="3257" w:type="dxa"/>
          </w:tcPr>
          <w:p w14:paraId="6DBD69C1">
            <w:pPr>
              <w:pStyle w:val="27"/>
              <w:spacing w:before="59" w:line="220" w:lineRule="auto"/>
              <w:ind w:left="117"/>
              <w:rPr>
                <w:sz w:val="21"/>
                <w:szCs w:val="21"/>
              </w:rPr>
            </w:pPr>
            <w:r>
              <w:rPr>
                <w:spacing w:val="-3"/>
                <w:sz w:val="21"/>
                <w:szCs w:val="21"/>
              </w:rPr>
              <w:t>副总经理</w:t>
            </w:r>
          </w:p>
        </w:tc>
      </w:tr>
      <w:tr w14:paraId="720B22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8" w:hRule="atLeast"/>
        </w:trPr>
        <w:tc>
          <w:tcPr>
            <w:tcW w:w="2842" w:type="dxa"/>
          </w:tcPr>
          <w:p w14:paraId="4DB9F091">
            <w:pPr>
              <w:pStyle w:val="27"/>
              <w:spacing w:before="62" w:line="220" w:lineRule="auto"/>
              <w:ind w:left="121"/>
              <w:rPr>
                <w:sz w:val="21"/>
                <w:szCs w:val="21"/>
              </w:rPr>
            </w:pPr>
            <w:r>
              <w:rPr>
                <w:spacing w:val="-5"/>
                <w:sz w:val="21"/>
                <w:szCs w:val="21"/>
              </w:rPr>
              <w:t>审批人</w:t>
            </w:r>
          </w:p>
        </w:tc>
        <w:tc>
          <w:tcPr>
            <w:tcW w:w="2422" w:type="dxa"/>
          </w:tcPr>
          <w:p w14:paraId="07A093CF">
            <w:pPr>
              <w:pStyle w:val="27"/>
              <w:spacing w:before="61" w:line="220" w:lineRule="auto"/>
              <w:ind w:left="118"/>
              <w:rPr>
                <w:sz w:val="21"/>
                <w:szCs w:val="21"/>
              </w:rPr>
            </w:pPr>
            <w:r>
              <w:rPr>
                <w:spacing w:val="-4"/>
                <w:sz w:val="21"/>
                <w:szCs w:val="21"/>
              </w:rPr>
              <w:t>负责审批</w:t>
            </w:r>
          </w:p>
        </w:tc>
        <w:tc>
          <w:tcPr>
            <w:tcW w:w="3257" w:type="dxa"/>
          </w:tcPr>
          <w:p w14:paraId="5AF5147F">
            <w:pPr>
              <w:pStyle w:val="27"/>
              <w:spacing w:before="62" w:line="225" w:lineRule="auto"/>
              <w:ind w:left="118"/>
              <w:rPr>
                <w:sz w:val="21"/>
                <w:szCs w:val="21"/>
              </w:rPr>
            </w:pPr>
            <w:r>
              <w:rPr>
                <w:spacing w:val="-4"/>
                <w:sz w:val="21"/>
                <w:szCs w:val="21"/>
              </w:rPr>
              <w:t>总经理</w:t>
            </w:r>
          </w:p>
        </w:tc>
      </w:tr>
    </w:tbl>
    <w:p w14:paraId="4C0E6C2F">
      <w:pPr>
        <w:pStyle w:val="12"/>
        <w:spacing w:line="355" w:lineRule="auto"/>
      </w:pPr>
    </w:p>
    <w:p w14:paraId="7AB4B704">
      <w:pPr>
        <w:pStyle w:val="30"/>
        <w:bidi w:val="0"/>
        <w:rPr>
          <w:rFonts w:hint="default"/>
          <w:lang w:val="en-US" w:eastAsia="zh-CN"/>
        </w:rPr>
      </w:pPr>
      <w:r>
        <w:rPr>
          <w:rFonts w:hint="eastAsia"/>
          <w:lang w:val="en-US" w:eastAsia="zh-CN"/>
        </w:rPr>
        <w:t>服务质量活动管理</w:t>
      </w:r>
    </w:p>
    <w:p w14:paraId="1BE34396">
      <w:pPr>
        <w:pStyle w:val="31"/>
        <w:bidi w:val="0"/>
      </w:pPr>
      <w:r>
        <w:rPr>
          <w:rFonts w:hint="eastAsia"/>
          <w:lang w:val="en-US" w:eastAsia="zh-CN"/>
        </w:rPr>
        <w:t>内部评审</w:t>
      </w:r>
    </w:p>
    <w:p w14:paraId="4F59D639">
      <w:pPr>
        <w:keepNext w:val="0"/>
        <w:keepLines w:val="0"/>
        <w:pageBreakBefore w:val="0"/>
        <w:widowControl/>
        <w:shd w:val="clear" w:color="auto" w:fill="auto"/>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ascii="宋体" w:hAnsi="宋体" w:eastAsia="宋体" w:cs="宋体"/>
          <w:sz w:val="24"/>
          <w:szCs w:val="24"/>
        </w:rPr>
        <w:t>公司准备在 2025年</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2</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 2025年</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2</w:t>
      </w:r>
      <w:r>
        <w:rPr>
          <w:rFonts w:ascii="宋体" w:hAnsi="宋体" w:eastAsia="宋体" w:cs="宋体"/>
          <w:sz w:val="24"/>
          <w:szCs w:val="24"/>
        </w:rPr>
        <w:t>月</w:t>
      </w:r>
      <w:r>
        <w:rPr>
          <w:rFonts w:hint="eastAsia" w:ascii="宋体" w:hAnsi="宋体" w:eastAsia="宋体" w:cs="宋体"/>
          <w:sz w:val="24"/>
          <w:szCs w:val="24"/>
          <w:lang w:val="en-US" w:eastAsia="zh-CN"/>
        </w:rPr>
        <w:t>15</w:t>
      </w:r>
      <w:r>
        <w:rPr>
          <w:rFonts w:ascii="宋体" w:hAnsi="宋体" w:eastAsia="宋体" w:cs="宋体"/>
          <w:sz w:val="24"/>
          <w:szCs w:val="24"/>
        </w:rPr>
        <w:t>日至</w:t>
      </w:r>
      <w:r>
        <w:rPr>
          <w:rFonts w:hint="eastAsia" w:ascii="宋体" w:hAnsi="宋体" w:eastAsia="宋体" w:cs="宋体"/>
          <w:sz w:val="24"/>
          <w:szCs w:val="24"/>
          <w:lang w:val="en-US" w:eastAsia="zh-CN"/>
        </w:rPr>
        <w:t>16</w:t>
      </w:r>
      <w:r>
        <w:rPr>
          <w:rFonts w:ascii="宋体" w:hAnsi="宋体" w:eastAsia="宋体" w:cs="宋体"/>
          <w:sz w:val="24"/>
          <w:szCs w:val="24"/>
        </w:rPr>
        <w:t>日举行了一次外审前的内审活动，涉及公司运维相关各部门。</w:t>
      </w:r>
      <w:r>
        <w:rPr>
          <w:rFonts w:hint="eastAsia" w:ascii="宋体" w:hAnsi="宋体" w:eastAsia="宋体" w:cs="宋体"/>
          <w:sz w:val="24"/>
          <w:szCs w:val="24"/>
          <w:lang w:val="en-US" w:eastAsia="zh-CN"/>
        </w:rPr>
        <w:t>发现了一项不符合为一般不符合。</w:t>
      </w:r>
      <w:r>
        <w:rPr>
          <w:rFonts w:ascii="宋体" w:hAnsi="宋体" w:eastAsia="宋体" w:cs="宋体"/>
          <w:sz w:val="24"/>
          <w:szCs w:val="24"/>
        </w:rPr>
        <w:t>针对不符合项</w:t>
      </w:r>
      <w:r>
        <w:rPr>
          <w:rFonts w:hint="eastAsia" w:ascii="宋体" w:hAnsi="宋体" w:eastAsia="宋体" w:cs="宋体"/>
          <w:sz w:val="24"/>
          <w:szCs w:val="24"/>
          <w:lang w:val="en-US" w:eastAsia="zh-CN"/>
        </w:rPr>
        <w:t>进行改进。要求对运维工具管理制度进行培训，并由质量部加强监督</w:t>
      </w:r>
    </w:p>
    <w:p w14:paraId="120CD326">
      <w:pPr>
        <w:pStyle w:val="31"/>
        <w:bidi w:val="0"/>
      </w:pPr>
      <w:r>
        <w:rPr>
          <w:rFonts w:hint="eastAsia"/>
          <w:lang w:val="en-US" w:eastAsia="zh-CN"/>
        </w:rPr>
        <w:t>管理评审</w:t>
      </w:r>
    </w:p>
    <w:p w14:paraId="7FEA1A4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公司管理评审在公司各部门的积极配合下圆满地结束了，对本次管理评审公司各相关部门做了周密的安排，参加会议的各部门人员也做了充分的准备，对公司的运维管理目标进行了认真的评议，全面的总结了公司运维能力体系的运行情况，肯定了2025年质量管理体系运行的适宜性、有效性。通过这次管理评审，总结了经验，将更有力的推动公司持续发展。</w:t>
      </w:r>
      <w:r>
        <w:rPr>
          <w:rFonts w:ascii="宋体" w:hAnsi="宋体" w:eastAsia="宋体" w:cs="宋体"/>
          <w:spacing w:val="-2"/>
          <w:sz w:val="24"/>
          <w:szCs w:val="24"/>
        </w:rPr>
        <w:t>。</w:t>
      </w:r>
    </w:p>
    <w:p w14:paraId="34821DD7">
      <w:pPr>
        <w:pStyle w:val="31"/>
        <w:bidi w:val="0"/>
      </w:pPr>
      <w:bookmarkStart w:id="5" w:name="_Toc3257"/>
      <w:r>
        <w:t>满意度调查</w:t>
      </w:r>
      <w:bookmarkEnd w:id="5"/>
    </w:p>
    <w:p w14:paraId="349112A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2025年1</w:t>
      </w:r>
      <w:r>
        <w:rPr>
          <w:rFonts w:hint="eastAsia" w:ascii="宋体" w:hAnsi="宋体" w:cs="宋体"/>
          <w:spacing w:val="-6"/>
          <w:sz w:val="24"/>
          <w:szCs w:val="24"/>
          <w:lang w:val="en-US" w:eastAsia="zh-CN"/>
        </w:rPr>
        <w:t>2</w:t>
      </w:r>
      <w:r>
        <w:rPr>
          <w:rFonts w:hint="eastAsia" w:ascii="宋体" w:hAnsi="宋体" w:eastAsia="宋体" w:cs="宋体"/>
          <w:spacing w:val="-6"/>
          <w:sz w:val="24"/>
          <w:szCs w:val="24"/>
          <w:lang w:val="en-US" w:eastAsia="zh-CN"/>
        </w:rPr>
        <w:t>月</w:t>
      </w:r>
      <w:r>
        <w:rPr>
          <w:rFonts w:hint="eastAsia" w:ascii="宋体" w:hAnsi="宋体" w:eastAsia="宋体" w:cs="宋体"/>
          <w:spacing w:val="-6"/>
          <w:sz w:val="24"/>
          <w:szCs w:val="24"/>
          <w:lang w:eastAsia="zh-CN"/>
        </w:rPr>
        <w:t>客户满意度平均分为9</w:t>
      </w:r>
      <w:r>
        <w:rPr>
          <w:rFonts w:hint="eastAsia" w:ascii="宋体" w:hAnsi="宋体" w:eastAsia="宋体" w:cs="宋体"/>
          <w:spacing w:val="-6"/>
          <w:sz w:val="24"/>
          <w:szCs w:val="24"/>
          <w:lang w:val="en-US" w:eastAsia="zh-CN"/>
        </w:rPr>
        <w:t>5</w:t>
      </w:r>
      <w:r>
        <w:rPr>
          <w:rFonts w:hint="eastAsia" w:ascii="宋体" w:hAnsi="宋体" w:eastAsia="宋体" w:cs="宋体"/>
          <w:spacing w:val="-6"/>
          <w:sz w:val="24"/>
          <w:szCs w:val="24"/>
          <w:lang w:eastAsia="zh-CN"/>
        </w:rPr>
        <w:t>分，通过调查分数以及客户提出的改进意见，</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发现以下情况在之后的运维服务过程中有提高的空间。</w:t>
      </w:r>
    </w:p>
    <w:p w14:paraId="0B556173">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73D07716">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spacing w:val="-6"/>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2D4A896B">
      <w:pPr>
        <w:pStyle w:val="31"/>
        <w:bidi w:val="0"/>
      </w:pPr>
      <w:r>
        <w:t>运维服务体系过程改进</w:t>
      </w:r>
    </w:p>
    <w:p w14:paraId="35C34730">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eastAsia="宋体"/>
          <w:lang w:eastAsia="zh-CN"/>
        </w:rPr>
      </w:pPr>
      <w:r>
        <w:rPr>
          <w:rFonts w:hint="default" w:ascii="宋体" w:hAnsi="宋体" w:eastAsia="宋体" w:cs="宋体"/>
          <w:spacing w:val="-6"/>
          <w:sz w:val="24"/>
          <w:szCs w:val="24"/>
          <w:lang w:val="en-US" w:eastAsia="zh-CN"/>
        </w:rPr>
        <w:t>2025 年</w:t>
      </w:r>
      <w:r>
        <w:rPr>
          <w:rFonts w:hint="eastAsia" w:ascii="宋体" w:hAnsi="宋体" w:cs="宋体"/>
          <w:spacing w:val="-6"/>
          <w:sz w:val="24"/>
          <w:szCs w:val="24"/>
          <w:lang w:val="en-US" w:eastAsia="zh-CN"/>
        </w:rPr>
        <w:t>7</w:t>
      </w:r>
      <w:r>
        <w:rPr>
          <w:rFonts w:hint="default" w:ascii="宋体" w:hAnsi="宋体" w:eastAsia="宋体" w:cs="宋体"/>
          <w:spacing w:val="-6"/>
          <w:sz w:val="24"/>
          <w:szCs w:val="24"/>
          <w:lang w:val="en-US" w:eastAsia="zh-CN"/>
        </w:rPr>
        <w:t>月，由</w:t>
      </w:r>
      <w:r>
        <w:rPr>
          <w:rFonts w:hint="eastAsia" w:ascii="宋体" w:hAnsi="宋体" w:cs="宋体"/>
          <w:spacing w:val="-6"/>
          <w:sz w:val="24"/>
          <w:szCs w:val="24"/>
          <w:lang w:val="en-US" w:eastAsia="zh-CN"/>
        </w:rPr>
        <w:t>运维部</w:t>
      </w:r>
      <w:r>
        <w:rPr>
          <w:rFonts w:hint="default" w:ascii="宋体" w:hAnsi="宋体" w:eastAsia="宋体" w:cs="宋体"/>
          <w:spacing w:val="-6"/>
          <w:sz w:val="24"/>
          <w:szCs w:val="24"/>
          <w:lang w:val="en-US" w:eastAsia="zh-CN"/>
        </w:rPr>
        <w:t>牵头公司引进了ITSS运维服务能力管理体系，结合公司的实际情况对公司原有的运维管理体系进行了全面系统地梳理，</w:t>
      </w:r>
      <w:r>
        <w:rPr>
          <w:rFonts w:hint="eastAsia" w:ascii="宋体" w:hAnsi="宋体" w:eastAsia="宋体" w:cs="宋体"/>
          <w:spacing w:val="-6"/>
          <w:sz w:val="24"/>
          <w:szCs w:val="24"/>
          <w:lang w:val="en-US" w:eastAsia="zh-CN"/>
        </w:rPr>
        <w:t>结合运维服务指标完成情况、客户反馈意见等方式</w:t>
      </w:r>
      <w:r>
        <w:rPr>
          <w:rFonts w:hint="default" w:ascii="宋体" w:hAnsi="宋体" w:eastAsia="宋体" w:cs="宋体"/>
          <w:spacing w:val="-6"/>
          <w:sz w:val="24"/>
          <w:szCs w:val="24"/>
          <w:lang w:val="en-US" w:eastAsia="zh-CN"/>
        </w:rPr>
        <w:t>从人员管理、资源管理、技术管理、服务过程管理及质量管理方面对</w:t>
      </w:r>
      <w:r>
        <w:rPr>
          <w:rFonts w:hint="eastAsia" w:ascii="宋体" w:hAnsi="宋体" w:eastAsia="宋体" w:cs="宋体"/>
          <w:spacing w:val="-6"/>
          <w:sz w:val="24"/>
          <w:szCs w:val="24"/>
          <w:lang w:val="en-US" w:eastAsia="zh-CN"/>
        </w:rPr>
        <w:t>运维体系进行改进和完善。</w:t>
      </w:r>
      <w:r>
        <w:rPr>
          <w:rFonts w:hint="default" w:ascii="宋体" w:hAnsi="宋体" w:eastAsia="宋体" w:cs="宋体"/>
          <w:spacing w:val="-6"/>
          <w:sz w:val="24"/>
          <w:szCs w:val="24"/>
          <w:lang w:val="en-US" w:eastAsia="zh-CN"/>
        </w:rPr>
        <w:t>实践表明，通过不断地完善调整，修改后的运维服务体系能较好的适应公司文化，规范工作流程，对运维服务起到了促进和支撑作用。</w:t>
      </w:r>
      <w:bookmarkStart w:id="6" w:name="_GoBack"/>
      <w:bookmarkEnd w:id="6"/>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A873C82"/>
    <w:rsid w:val="216B3C80"/>
    <w:rsid w:val="50E579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table" w:customStyle="1" w:styleId="28">
    <w:name w:val="Table Normal_1"/>
    <w:semiHidden/>
    <w:unhideWhenUsed/>
    <w:qFormat/>
    <w:uiPriority w:val="0"/>
    <w:tblPr>
      <w:tblCellMar>
        <w:top w:w="0" w:type="dxa"/>
        <w:left w:w="0" w:type="dxa"/>
        <w:bottom w:w="0" w:type="dxa"/>
        <w:right w:w="0" w:type="dxa"/>
      </w:tblCellMar>
    </w:tbl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1"/>
    <w:basedOn w:val="2"/>
    <w:next w:val="1"/>
    <w:link w:val="39"/>
    <w:qFormat/>
    <w:uiPriority w:val="0"/>
    <w:pPr>
      <w:spacing w:before="100" w:after="90" w:line="360" w:lineRule="auto"/>
    </w:pPr>
    <w:rPr>
      <w:rFonts w:ascii="Arial" w:hAnsi="Arial" w:eastAsia="宋体"/>
      <w:sz w:val="32"/>
    </w:rPr>
  </w:style>
  <w:style w:type="paragraph" w:customStyle="1" w:styleId="31">
    <w:name w:val="柴_标题2"/>
    <w:basedOn w:val="3"/>
    <w:next w:val="1"/>
    <w:qFormat/>
    <w:uiPriority w:val="0"/>
    <w:pPr>
      <w:spacing w:line="360" w:lineRule="auto"/>
    </w:pPr>
    <w:rPr>
      <w:rFonts w:ascii="Arial" w:hAnsi="Arial" w:eastAsia="宋体"/>
      <w:sz w:val="28"/>
    </w:rPr>
  </w:style>
  <w:style w:type="paragraph" w:customStyle="1" w:styleId="32">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30"/>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1216</Words>
  <Characters>1396</Characters>
  <Lines>0</Lines>
  <Paragraphs>0</Paragraphs>
  <TotalTime>3</TotalTime>
  <ScaleCrop>false</ScaleCrop>
  <LinksUpToDate>false</LinksUpToDate>
  <CharactersWithSpaces>1430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2025-12-13T03:17:00Z</dcterms:created>
  <dc:creator>郝宇</dc:creator>
  <cp:lastModifiedBy>郝宇</cp:lastModifiedBy>
  <dcterms:modified xsi:type="dcterms:W3CDTF">2026-02-15T16:34:00Z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341D1C7ED3A1444E8EA73691394D44B6_11</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