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6466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9424"/>
      <w:r>
        <w:rPr>
          <w:rFonts w:hint="eastAsia"/>
          <w:lang w:val="en-US" w:eastAsia="zh-CN"/>
        </w:rPr>
        <w:t>绩效考核管理制度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356"/>
      <w:r>
        <w:rPr>
          <w:rFonts w:hint="eastAsia"/>
          <w:lang w:val="en-US" w:eastAsia="zh-CN"/>
        </w:rPr>
        <w:t>（HXDL-ITSS-0504）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1216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  <w:bookmarkStart w:id="4" w:name="_GoBack"/>
            <w:bookmarkEnd w:id="4"/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36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_Toc6466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_Toc6466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_Toc29424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绩效考核管理制度</w:t>
          </w:r>
          <w:r>
            <w:tab/>
          </w:r>
          <w:r>
            <w:fldChar w:fldCharType="begin"/>
          </w:r>
          <w:r>
            <w:instrText xml:space="preserve"> PAGEREF _Toc29424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_Toc24356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（HXDL-ITSS-0504）</w:t>
          </w:r>
          <w:r>
            <w:tab/>
          </w:r>
          <w:r>
            <w:fldChar w:fldCharType="begin"/>
          </w:r>
          <w:r>
            <w:instrText xml:space="preserve"> PAGEREF _Toc24356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_Toc1216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_Toc4976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考核目的</w:t>
          </w:r>
          <w:r>
            <w:tab/>
          </w:r>
          <w:r>
            <w:fldChar w:fldCharType="begin"/>
          </w:r>
          <w:r>
            <w:instrText xml:space="preserve"> PAGEREF _Toc4976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_Toc28231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_Toc30906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考核原则</w:t>
          </w:r>
          <w:r>
            <w:tab/>
          </w:r>
          <w:r>
            <w:fldChar w:fldCharType="begin"/>
          </w:r>
          <w:r>
            <w:instrText xml:space="preserve"> PAGEREF _Toc30906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_Toc14700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考核周期</w:t>
          </w:r>
          <w:r>
            <w:tab/>
          </w:r>
          <w:r>
            <w:fldChar w:fldCharType="begin"/>
          </w:r>
          <w:r>
            <w:instrText xml:space="preserve"> PAGEREF _Toc14700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考核职责</w:t>
          </w:r>
          <w:r>
            <w:tab/>
          </w:r>
          <w:r>
            <w:fldChar w:fldCharType="begin"/>
          </w:r>
          <w:r>
            <w:instrText xml:space="preserve"> PAGEREF _Toc1129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_Toc13480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_Toc13480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_Toc1786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各</w:t>
          </w:r>
          <w:r>
            <w:rPr>
              <w:rFonts w:hint="eastAsia"/>
              <w:lang w:val="en-US" w:eastAsia="zh-CN"/>
            </w:rPr>
            <w:t>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_Toc1786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_Toc25288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公司领导</w:t>
          </w:r>
          <w:r>
            <w:tab/>
          </w:r>
          <w:r>
            <w:fldChar w:fldCharType="begin"/>
          </w:r>
          <w:r>
            <w:instrText xml:space="preserve"> PAGEREF _Toc25288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_Toc9022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考核内容</w:t>
          </w:r>
          <w:r>
            <w:tab/>
          </w:r>
          <w:r>
            <w:fldChar w:fldCharType="begin"/>
          </w:r>
          <w:r>
            <w:instrText xml:space="preserve"> PAGEREF _Toc9022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_Toc16811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运维部、质量部</w:t>
          </w:r>
          <w:r>
            <w:tab/>
          </w:r>
          <w:r>
            <w:fldChar w:fldCharType="begin"/>
          </w:r>
          <w:r>
            <w:instrText xml:space="preserve"> PAGEREF _Toc16811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_Toc29863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_Toc29863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_Toc26591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_Toc26591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_Toc1247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6.4. 各部门</w:t>
          </w:r>
          <w:r>
            <w:rPr>
              <w:rFonts w:hint="eastAsia"/>
              <w:lang w:val="en-US" w:eastAsia="zh-CN"/>
            </w:rPr>
            <w:t>经理</w:t>
          </w:r>
          <w:r>
            <w:tab/>
          </w:r>
          <w:r>
            <w:fldChar w:fldCharType="begin"/>
          </w:r>
          <w:r>
            <w:instrText xml:space="preserve"> PAGEREF _Toc1247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_Toc14422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考核结果</w:t>
          </w:r>
          <w:r>
            <w:tab/>
          </w:r>
          <w:r>
            <w:fldChar w:fldCharType="begin"/>
          </w:r>
          <w:r>
            <w:instrText xml:space="preserve"> PAGEREF _Toc14422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_Toc29504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 考评结果的运用</w:t>
          </w:r>
          <w:r>
            <w:tab/>
          </w:r>
          <w:r>
            <w:fldChar w:fldCharType="begin"/>
          </w:r>
          <w:r>
            <w:instrText xml:space="preserve"> PAGEREF _Toc29504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_Toc9347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8.1. 年度评优</w:t>
          </w:r>
          <w:r>
            <w:tab/>
          </w:r>
          <w:r>
            <w:fldChar w:fldCharType="begin"/>
          </w:r>
          <w:r>
            <w:instrText xml:space="preserve"> PAGEREF _Toc9347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8.2. 员工定级</w:t>
          </w:r>
          <w:r>
            <w:tab/>
          </w:r>
          <w:r>
            <w:fldChar w:fldCharType="begin"/>
          </w:r>
          <w:r>
            <w:instrText xml:space="preserve"> PAGEREF _Toc1256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_Toc30878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8.3. 年度调薪</w:t>
          </w:r>
          <w:r>
            <w:tab/>
          </w:r>
          <w:r>
            <w:fldChar w:fldCharType="begin"/>
          </w:r>
          <w:r>
            <w:instrText xml:space="preserve"> PAGEREF _Toc30878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_Toc19064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9. 考核流程</w:t>
          </w:r>
          <w:r>
            <w:tab/>
          </w:r>
          <w:r>
            <w:fldChar w:fldCharType="begin"/>
          </w:r>
          <w:r>
            <w:instrText xml:space="preserve"> PAGEREF _Toc19064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_Toc19179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10. 申诉的受理</w:t>
          </w:r>
          <w:r>
            <w:tab/>
          </w:r>
          <w:r>
            <w:fldChar w:fldCharType="begin"/>
          </w:r>
          <w:r>
            <w:instrText xml:space="preserve"> PAGEREF _Toc19179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_Toc12478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11. 绩效问题改进</w:t>
          </w:r>
          <w:r>
            <w:tab/>
          </w:r>
          <w:r>
            <w:fldChar w:fldCharType="begin"/>
          </w:r>
          <w:r>
            <w:instrText xml:space="preserve"> PAGEREF _Toc12478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_Toc11819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12. KPI指标</w:t>
          </w:r>
          <w:r>
            <w:tab/>
          </w:r>
          <w:r>
            <w:fldChar w:fldCharType="begin"/>
          </w:r>
          <w:r>
            <w:instrText xml:space="preserve"> PAGEREF _Toc11819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13. 相关文件和记录</w:t>
          </w:r>
          <w:r>
            <w:tab/>
          </w:r>
          <w:r>
            <w:fldChar w:fldCharType="begin"/>
          </w:r>
          <w:r>
            <w:instrText xml:space="preserve"> PAGEREF _Toc15334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default"/>
              <w:lang w:val="en-US" w:eastAsia="zh-CN"/>
            </w:rPr>
          </w:pPr>
          <w:r>
            <w:rPr>
              <w:rFonts w:hint="default"/>
              <w:lang w:val="en-US" w:eastAsia="zh-CN"/>
            </w:rPr>
            <w:fldChar w:fldCharType="end"/>
          </w:r>
          <w:bookmarkStart w:id="5" w:name="_Toc4976"/>
        </w:p>
        <w:p>
          <w:r>
            <w:rPr>
              <w:rFonts w:hint="default"/>
              <w:lang w:val="en-US" w:eastAsia="zh-CN"/>
            </w:rPr>
            <w:br w:type="page"/>
          </w:r>
        </w:p>
      </w:sdtContent>
    </w:sdt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考核目的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为更好地激励与挖掘员工潜能，强化员工的责任和竞争意识，提高组织整体效能，同时为员工奖金评定、薪资调整及年度评优等提供科学有效的依据，从而推动企业与员工共同发展。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8231"/>
      <w:r>
        <w:rPr>
          <w:rFonts w:hint="default"/>
          <w:lang w:val="en-US" w:eastAsia="zh-CN"/>
        </w:rPr>
        <w:t>适用范围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本制度适用于公司所有员工。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906"/>
      <w:r>
        <w:rPr>
          <w:rFonts w:hint="default"/>
          <w:lang w:val="en-US" w:eastAsia="zh-CN"/>
        </w:rPr>
        <w:t>考核原则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客观原则：对被考核者的任何评价都应明确的评价标准，以事实为依据，客观地反映员工的实际情况，避免因个人和其他主观因素影响绩效考核的结果。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自主原则：各</w:t>
      </w:r>
      <w:r>
        <w:rPr>
          <w:rFonts w:hint="eastAsia"/>
          <w:lang w:val="en-US" w:eastAsia="zh-CN"/>
        </w:rPr>
        <w:t>部门</w:t>
      </w:r>
      <w:r>
        <w:rPr>
          <w:rFonts w:hint="default"/>
          <w:lang w:val="en-US" w:eastAsia="zh-CN"/>
        </w:rPr>
        <w:t>可根据自身工作特点在一定范围内制定相应的考核规程和评价标准，形成部门的考核实施细则，部门内所有岗位均有对应的考核指标。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公开原则：各级考核指标（含项目、达到状态、权重和评价标准）的制定与过程调整，对员工公开。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反馈原则：过程监控结果和考核结果要及时反馈给被考核者本人，肯定成绩，指出不足，并提出今后努力改进的方向。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改进原则：考核目的在于监督责任者的职能履行与实施，促进责任者对公司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部门经营目标的有效贯彻与实现，因此在考核中要注重对责任者的自我纠正和改进情况的评价。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4700"/>
      <w:r>
        <w:rPr>
          <w:rFonts w:hint="default"/>
          <w:lang w:val="en-US" w:eastAsia="zh-CN"/>
        </w:rPr>
        <w:t>考核周期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季度考核：对员工当季度的工作绩效进行考核，考核时间为下季度第一个月份的1日～25日，遇节假日顺延。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年度考核：对员工当年的工作绩效进行考核，考核时间为下年度一月份的1日～25日，遇节假日顺延。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129"/>
      <w:r>
        <w:rPr>
          <w:rFonts w:hint="default"/>
          <w:lang w:val="en-US" w:eastAsia="zh-CN"/>
        </w:rPr>
        <w:t>考核职责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13480"/>
      <w:r>
        <w:rPr>
          <w:rFonts w:hint="eastAsia"/>
          <w:lang w:val="en-US" w:eastAsia="zh-CN"/>
        </w:rPr>
        <w:t>人力资源部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作为年终考核的主要牵头部门，负责制定绩效考核方案、组织绩效考核实施、员工级考核得分的汇总、考核结果的汇总与运用。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786"/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运维相关</w:t>
      </w:r>
      <w:r>
        <w:rPr>
          <w:rFonts w:hint="default"/>
          <w:lang w:val="en-US" w:eastAsia="zh-CN"/>
        </w:rPr>
        <w:t>部门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作为年终考核的重要参与部门，负责所辖员工的考核评价。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5288"/>
      <w:r>
        <w:rPr>
          <w:rFonts w:hint="default"/>
          <w:lang w:val="en-US" w:eastAsia="zh-CN"/>
        </w:rPr>
        <w:t>公司领导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对绩效考核实行监督及拥有最终考核结果决定权。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9022"/>
      <w:r>
        <w:rPr>
          <w:rFonts w:hint="default"/>
          <w:lang w:val="en-US" w:eastAsia="zh-CN"/>
        </w:rPr>
        <w:t>考核内容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依据考核周期内员工个体的具体工作表现由直接上级进行考核评分。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6811"/>
      <w:r>
        <w:rPr>
          <w:rFonts w:hint="eastAsia"/>
          <w:lang w:val="en-US" w:eastAsia="zh-CN"/>
        </w:rPr>
        <w:t>运维部、质量部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考核方式：业主单位考评权重 40%、班组考评权重 30%、部门考评权重 30%。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考核内容：从“专业能力”“沟通能力”“文档能力”“基础评价”“行为意识”和“特殊贡献”六个绩效指标进行评价。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9863"/>
      <w:r>
        <w:rPr>
          <w:rFonts w:hint="eastAsia"/>
          <w:lang w:val="en-US" w:eastAsia="zh-CN"/>
        </w:rPr>
        <w:t>研发部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考核方式：班组评价为主，部门评价为辅，由研发部门自行组织。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考核内容：从“个人素质”“专业能力”“业务能力”“工作业绩”及“管理能力”五个方面进行考核，具体指标细则和权重由部门根据实际情况确定。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6591"/>
      <w:r>
        <w:rPr>
          <w:rFonts w:hint="eastAsia"/>
          <w:lang w:val="en-US" w:eastAsia="zh-CN"/>
        </w:rPr>
        <w:t>人力资源部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考核方式：部门评价权重 60%，公司领导评价权重 40%。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考核内容：从“工作绩效”“工作能力”“工作态度”和“学习成长力”四个方面进行考核。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247"/>
      <w:r>
        <w:rPr>
          <w:rFonts w:hint="default"/>
          <w:lang w:val="en-US" w:eastAsia="zh-CN"/>
        </w:rPr>
        <w:t>各部门</w:t>
      </w:r>
      <w:r>
        <w:rPr>
          <w:rFonts w:hint="eastAsia"/>
          <w:lang w:val="en-US" w:eastAsia="zh-CN"/>
        </w:rPr>
        <w:t>经理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考核方式：部门负责人互评权重 40%，公司领导评价权重 60%。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考核内容：从“工作绩效”“工作能力”“知识与专业技能”和“个人品质”四个方面进行考核。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4422"/>
      <w:r>
        <w:rPr>
          <w:rFonts w:hint="eastAsia"/>
          <w:lang w:val="en-US" w:eastAsia="zh-CN"/>
        </w:rPr>
        <w:t>考核结果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根据汇总考核最终得分，具体考核评级及奖金系数如下所示：</w:t>
      </w:r>
    </w:p>
    <w:tbl>
      <w:tblPr>
        <w:tblStyle w:val="TableNormal0"/>
        <w:tblW w:w="887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7"/>
        <w:gridCol w:w="3136"/>
        <w:gridCol w:w="2113"/>
        <w:gridCol w:w="1955"/>
      </w:tblGrid>
      <w:tr>
        <w:tblPrEx>
          <w:tblW w:w="887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6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52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b/>
                <w:bCs/>
                <w:spacing w:val="-10"/>
                <w:sz w:val="31"/>
                <w:szCs w:val="31"/>
              </w:rPr>
              <w:t>序</w:t>
            </w:r>
            <w:r>
              <w:rPr>
                <w:rFonts w:ascii="仿宋" w:eastAsia="仿宋" w:hAnsi="仿宋" w:cs="仿宋"/>
                <w:spacing w:val="37"/>
                <w:sz w:val="31"/>
                <w:szCs w:val="31"/>
              </w:rPr>
              <w:t xml:space="preserve"> </w:t>
            </w:r>
            <w:r>
              <w:rPr>
                <w:rFonts w:ascii="仿宋" w:eastAsia="仿宋" w:hAnsi="仿宋" w:cs="仿宋"/>
                <w:b/>
                <w:bCs/>
                <w:spacing w:val="-10"/>
                <w:sz w:val="31"/>
                <w:szCs w:val="31"/>
              </w:rPr>
              <w:t>号</w:t>
            </w:r>
          </w:p>
        </w:tc>
        <w:tc>
          <w:tcPr>
            <w:tcW w:w="313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945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b/>
                <w:bCs/>
                <w:spacing w:val="2"/>
                <w:sz w:val="31"/>
                <w:szCs w:val="31"/>
              </w:rPr>
              <w:t>考核得分</w:t>
            </w:r>
          </w:p>
        </w:tc>
        <w:tc>
          <w:tcPr>
            <w:tcW w:w="21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40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b/>
                <w:bCs/>
                <w:sz w:val="31"/>
                <w:szCs w:val="31"/>
              </w:rPr>
              <w:t>奖金系数</w:t>
            </w:r>
          </w:p>
        </w:tc>
        <w:tc>
          <w:tcPr>
            <w:tcW w:w="19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6" w:lineRule="auto"/>
              <w:ind w:left="596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b/>
                <w:bCs/>
                <w:spacing w:val="-11"/>
                <w:sz w:val="31"/>
                <w:szCs w:val="31"/>
              </w:rPr>
              <w:t>备</w:t>
            </w:r>
            <w:r>
              <w:rPr>
                <w:rFonts w:ascii="仿宋" w:eastAsia="仿宋" w:hAnsi="仿宋" w:cs="仿宋"/>
                <w:spacing w:val="38"/>
                <w:sz w:val="31"/>
                <w:szCs w:val="31"/>
              </w:rPr>
              <w:t xml:space="preserve"> </w:t>
            </w:r>
            <w:r>
              <w:rPr>
                <w:rFonts w:ascii="仿宋" w:eastAsia="仿宋" w:hAnsi="仿宋" w:cs="仿宋"/>
                <w:b/>
                <w:bCs/>
                <w:spacing w:val="-11"/>
                <w:sz w:val="31"/>
                <w:szCs w:val="31"/>
              </w:rPr>
              <w:t>注</w:t>
            </w:r>
          </w:p>
        </w:tc>
      </w:tr>
      <w:tr>
        <w:tblPrEx>
          <w:tblW w:w="887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6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24" w:lineRule="auto"/>
              <w:ind w:left="534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spacing w:val="-1"/>
                <w:sz w:val="31"/>
                <w:szCs w:val="31"/>
              </w:rPr>
              <w:t>优秀</w:t>
            </w:r>
          </w:p>
        </w:tc>
        <w:tc>
          <w:tcPr>
            <w:tcW w:w="313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5" w:lineRule="auto"/>
              <w:ind w:left="781"/>
              <w:textAlignment w:val="baseline"/>
              <w:rPr>
                <w:rFonts w:ascii="仿宋" w:eastAsia="仿宋" w:hAnsi="仿宋" w:cs="仿宋"/>
                <w:sz w:val="28"/>
                <w:szCs w:val="28"/>
              </w:rPr>
            </w:pPr>
            <w:r>
              <w:rPr>
                <w:rFonts w:ascii="仿宋" w:eastAsia="仿宋" w:hAnsi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eastAsia="微软雅黑" w:hAnsi="微软雅黑" w:cs="微软雅黑"/>
                <w:spacing w:val="-3"/>
                <w:sz w:val="28"/>
                <w:szCs w:val="28"/>
              </w:rPr>
              <w:t>&gt;</w:t>
            </w:r>
            <w:r>
              <w:rPr>
                <w:rFonts w:ascii="仿宋" w:eastAsia="仿宋" w:hAnsi="仿宋" w:cs="仿宋"/>
                <w:spacing w:val="-3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42" w:lineRule="auto"/>
              <w:ind w:left="848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spacing w:val="-5"/>
                <w:sz w:val="31"/>
                <w:szCs w:val="31"/>
              </w:rPr>
              <w:t>1.2</w:t>
            </w:r>
          </w:p>
        </w:tc>
        <w:tc>
          <w:tcPr>
            <w:tcW w:w="19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23" w:lineRule="auto"/>
              <w:ind w:left="805" w:right="135" w:hanging="655"/>
              <w:textAlignment w:val="baseline"/>
              <w:rPr>
                <w:rFonts w:ascii="仿宋" w:eastAsia="仿宋" w:hAnsi="仿宋" w:cs="仿宋"/>
                <w:sz w:val="24"/>
                <w:szCs w:val="24"/>
              </w:rPr>
            </w:pPr>
            <w:r>
              <w:rPr>
                <w:rFonts w:ascii="仿宋" w:eastAsia="仿宋" w:hAnsi="仿宋" w:cs="仿宋"/>
                <w:spacing w:val="-3"/>
                <w:sz w:val="24"/>
                <w:szCs w:val="24"/>
              </w:rPr>
              <w:t>部门内占比不超20%</w:t>
            </w:r>
          </w:p>
        </w:tc>
      </w:tr>
      <w:tr>
        <w:tblPrEx>
          <w:tblW w:w="887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66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24" w:lineRule="auto"/>
              <w:ind w:left="543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spacing w:val="-3"/>
                <w:sz w:val="31"/>
                <w:szCs w:val="31"/>
              </w:rPr>
              <w:t>合格</w:t>
            </w:r>
          </w:p>
        </w:tc>
        <w:tc>
          <w:tcPr>
            <w:tcW w:w="313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27"/>
              <w:textAlignment w:val="baseline"/>
              <w:rPr>
                <w:rFonts w:ascii="仿宋" w:eastAsia="仿宋" w:hAnsi="仿宋" w:cs="仿宋"/>
                <w:sz w:val="28"/>
                <w:szCs w:val="28"/>
              </w:rPr>
            </w:pPr>
            <w:r>
              <w:rPr>
                <w:rFonts w:ascii="仿宋" w:eastAsia="仿宋" w:hAnsi="仿宋" w:cs="仿宋"/>
                <w:spacing w:val="-1"/>
                <w:sz w:val="28"/>
                <w:szCs w:val="28"/>
              </w:rPr>
              <w:t>80</w:t>
            </w:r>
            <w:r>
              <w:rPr>
                <w:rFonts w:ascii="微软雅黑" w:eastAsia="微软雅黑" w:hAnsi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eastAsia="仿宋" w:hAnsi="仿宋" w:cs="仿宋"/>
                <w:spacing w:val="-1"/>
                <w:sz w:val="28"/>
                <w:szCs w:val="28"/>
              </w:rPr>
              <w:t>考核得分</w:t>
            </w:r>
            <w:r>
              <w:rPr>
                <w:rFonts w:ascii="微软雅黑" w:eastAsia="微软雅黑" w:hAnsi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eastAsia="仿宋" w:hAnsi="仿宋" w:cs="仿宋"/>
                <w:spacing w:val="-1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409" w:lineRule="exact"/>
              <w:ind w:left="1009"/>
              <w:textAlignment w:val="baseline"/>
              <w:rPr>
                <w:rFonts w:ascii="仿宋" w:eastAsia="仿宋" w:hAnsi="仿宋" w:cs="仿宋"/>
                <w:sz w:val="31"/>
                <w:szCs w:val="31"/>
              </w:rPr>
            </w:pPr>
            <w:r>
              <w:rPr>
                <w:rFonts w:ascii="仿宋" w:eastAsia="仿宋" w:hAnsi="仿宋" w:cs="仿宋"/>
                <w:position w:val="2"/>
                <w:sz w:val="31"/>
                <w:szCs w:val="31"/>
              </w:rPr>
              <w:t>1</w:t>
            </w:r>
          </w:p>
        </w:tc>
        <w:tc>
          <w:tcPr>
            <w:tcW w:w="19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887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66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24" w:lineRule="auto"/>
              <w:ind w:left="386" w:leftChars="0"/>
              <w:textAlignment w:val="baseline"/>
              <w:rPr>
                <w:rFonts w:ascii="仿宋" w:eastAsia="仿宋" w:hAnsi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2"/>
                <w:sz w:val="31"/>
                <w:szCs w:val="31"/>
              </w:rPr>
              <w:t>需改进</w:t>
            </w:r>
          </w:p>
        </w:tc>
        <w:tc>
          <w:tcPr>
            <w:tcW w:w="313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07" w:leftChars="0"/>
              <w:textAlignment w:val="baseline"/>
              <w:rPr>
                <w:rFonts w:ascii="仿宋" w:eastAsia="仿宋" w:hAnsi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微软雅黑" w:eastAsia="微软雅黑" w:hAnsi="微软雅黑" w:cs="微软雅黑"/>
                <w:spacing w:val="-2"/>
                <w:sz w:val="28"/>
                <w:szCs w:val="28"/>
              </w:rPr>
              <w:t>70≤</w:t>
            </w:r>
            <w:r>
              <w:rPr>
                <w:rFonts w:ascii="仿宋" w:eastAsia="仿宋" w:hAnsi="仿宋" w:cs="仿宋"/>
                <w:spacing w:val="-2"/>
                <w:sz w:val="28"/>
                <w:szCs w:val="28"/>
              </w:rPr>
              <w:t>考核得分</w:t>
            </w:r>
            <w:r>
              <w:rPr>
                <w:rFonts w:ascii="微软雅黑" w:eastAsia="微软雅黑" w:hAnsi="微软雅黑" w:cs="微软雅黑"/>
                <w:spacing w:val="-2"/>
                <w:sz w:val="28"/>
                <w:szCs w:val="28"/>
              </w:rPr>
              <w:t>≤</w:t>
            </w:r>
            <w:r>
              <w:rPr>
                <w:rFonts w:ascii="仿宋" w:eastAsia="仿宋" w:hAnsi="仿宋" w:cs="仿宋"/>
                <w:spacing w:val="-2"/>
                <w:sz w:val="28"/>
                <w:szCs w:val="28"/>
              </w:rPr>
              <w:t>80</w:t>
            </w:r>
          </w:p>
        </w:tc>
        <w:tc>
          <w:tcPr>
            <w:tcW w:w="2113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42" w:lineRule="auto"/>
              <w:ind w:left="827" w:leftChars="0"/>
              <w:textAlignment w:val="baseline"/>
              <w:rPr>
                <w:rFonts w:ascii="仿宋" w:eastAsia="仿宋" w:hAnsi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eastAsia="仿宋" w:hAnsi="仿宋" w:cs="仿宋"/>
                <w:sz w:val="31"/>
                <w:szCs w:val="31"/>
              </w:rPr>
              <w:t>0.8</w:t>
            </w:r>
          </w:p>
        </w:tc>
        <w:tc>
          <w:tcPr>
            <w:tcW w:w="19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887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66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381" w:leftChars="0"/>
              <w:textAlignment w:val="baseline"/>
              <w:rPr>
                <w:rFonts w:ascii="仿宋" w:eastAsia="仿宋" w:hAnsi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eastAsia="仿宋" w:hAnsi="仿宋" w:cs="仿宋"/>
                <w:sz w:val="31"/>
                <w:szCs w:val="31"/>
              </w:rPr>
              <w:t>不合格</w:t>
            </w:r>
          </w:p>
        </w:tc>
        <w:tc>
          <w:tcPr>
            <w:tcW w:w="313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05" w:lineRule="auto"/>
              <w:ind w:left="781" w:leftChars="0"/>
              <w:textAlignment w:val="baseline"/>
              <w:rPr>
                <w:rFonts w:ascii="仿宋" w:eastAsia="仿宋" w:hAnsi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仿宋" w:eastAsia="仿宋" w:hAnsi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eastAsia="微软雅黑" w:hAnsi="微软雅黑" w:cs="微软雅黑"/>
                <w:spacing w:val="-3"/>
                <w:sz w:val="28"/>
                <w:szCs w:val="28"/>
              </w:rPr>
              <w:t>&lt;</w:t>
            </w:r>
            <w:r>
              <w:rPr>
                <w:rFonts w:ascii="仿宋" w:eastAsia="仿宋" w:hAnsi="仿宋" w:cs="仿宋"/>
                <w:spacing w:val="-3"/>
                <w:sz w:val="28"/>
                <w:szCs w:val="28"/>
              </w:rPr>
              <w:t>70</w:t>
            </w:r>
          </w:p>
        </w:tc>
        <w:tc>
          <w:tcPr>
            <w:tcW w:w="2113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42" w:lineRule="auto"/>
              <w:ind w:left="827" w:leftChars="0"/>
              <w:textAlignment w:val="baseline"/>
              <w:rPr>
                <w:rFonts w:ascii="仿宋" w:eastAsia="仿宋" w:hAnsi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eastAsia="仿宋" w:hAnsi="仿宋" w:cs="仿宋"/>
                <w:sz w:val="31"/>
                <w:szCs w:val="31"/>
              </w:rPr>
              <w:t>0.5</w:t>
            </w:r>
          </w:p>
        </w:tc>
        <w:tc>
          <w:tcPr>
            <w:tcW w:w="195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9504"/>
      <w:r>
        <w:rPr>
          <w:rFonts w:hint="default"/>
          <w:lang w:val="en-US" w:eastAsia="zh-CN"/>
        </w:rPr>
        <w:t>考评结果的运用</w:t>
      </w:r>
      <w:bookmarkEnd w:id="1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9347"/>
      <w:r>
        <w:rPr>
          <w:rFonts w:hint="default"/>
          <w:lang w:val="en-US" w:eastAsia="zh-CN"/>
        </w:rPr>
        <w:t>年度评优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年终考评结果作为年度评优的直接依据，考核结果为“需改进”“不合格”的员工不参与年度优秀员工评选。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256"/>
      <w:r>
        <w:rPr>
          <w:rFonts w:hint="default"/>
          <w:lang w:val="en-US" w:eastAsia="zh-CN"/>
        </w:rPr>
        <w:t>员工定级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年度考评结果可作为员工薪酬定级的依据，为调薪提供参考标准。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30878"/>
      <w:r>
        <w:rPr>
          <w:rFonts w:hint="default"/>
          <w:lang w:val="en-US" w:eastAsia="zh-CN"/>
        </w:rPr>
        <w:t>年度调薪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根据年终考评结果及员工定级情况，对薪酬不合理的员工进行调薪，以保持公司薪酬的外部公平性与吸引力。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9064"/>
      <w:r>
        <w:rPr>
          <w:rFonts w:hint="default"/>
          <w:lang w:val="en-US" w:eastAsia="zh-CN"/>
        </w:rPr>
        <w:t>考核流程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个人申报：每季度第一个月5日前，员工填写《绩效评价表》并报送部门负责人。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部门审核：每季度第一个月10日前，部门负责人审核评价本部员工绩效，外派员工绩效由业主单位相关部门负责人审核签字。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公司审定：每季度第一个月15日前，公司执行董事主持绩效考核会议审定员工绩效等级。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考核公示：每季度第一个月20日前，总经部公示绩效考核等级。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薪酬发放：每月30日前，总经部根据绩效考核等级发放绩效奖金。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9179"/>
      <w:r>
        <w:rPr>
          <w:rFonts w:hint="default"/>
          <w:lang w:val="en-US" w:eastAsia="zh-CN"/>
        </w:rPr>
        <w:t>申诉的受理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被考核者如对考核结果有异议，可在获知结果后3天内向总经部提出申诉。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总经部在7天内核实情况、听取多方意见，并与当事人沟通后反馈处理结果。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2478"/>
      <w:r>
        <w:rPr>
          <w:rFonts w:hint="default"/>
          <w:lang w:val="en-US" w:eastAsia="zh-CN"/>
        </w:rPr>
        <w:t>绩效问题改进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总经部依据绩效考核分析结果及部门反馈的问题汇总，制定《绩效问题改进计划》，报总经理审批后执行，持续优化绩效考核体系。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1819"/>
      <w:r>
        <w:rPr>
          <w:rFonts w:hint="default"/>
          <w:lang w:val="en-US" w:eastAsia="zh-CN"/>
        </w:rPr>
        <w:t>KPI指标</w:t>
      </w:r>
      <w:bookmarkEnd w:id="26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4097"/>
        <w:gridCol w:w="1611"/>
        <w:gridCol w:w="127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指标名称</w:t>
            </w:r>
          </w:p>
        </w:tc>
        <w:tc>
          <w:tcPr>
            <w:tcW w:w="4097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计算公式</w:t>
            </w:r>
          </w:p>
        </w:tc>
        <w:tc>
          <w:tcPr>
            <w:tcW w:w="161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考核要求</w:t>
            </w:r>
          </w:p>
        </w:tc>
        <w:tc>
          <w:tcPr>
            <w:tcW w:w="1275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考核周期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绩效考核覆盖率</w:t>
            </w:r>
          </w:p>
        </w:tc>
        <w:tc>
          <w:tcPr>
            <w:tcW w:w="4097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参与绩效考核运维人员/运维人员总数 × 100%</w:t>
            </w:r>
          </w:p>
        </w:tc>
        <w:tc>
          <w:tcPr>
            <w:tcW w:w="1611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100%</w:t>
            </w:r>
          </w:p>
        </w:tc>
        <w:tc>
          <w:tcPr>
            <w:tcW w:w="1275" w:type="dxa"/>
          </w:tcPr>
          <w:p>
            <w:pPr>
              <w:pStyle w:val="a1"/>
              <w:widowControl w:val="0"/>
              <w:ind w:left="0" w:firstLine="0" w:leftChars="0" w:firstLineChars="0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7" w:name="_Toc15334"/>
      <w:r>
        <w:rPr>
          <w:rFonts w:hint="default"/>
          <w:lang w:val="en-US" w:eastAsia="zh-CN"/>
        </w:rPr>
        <w:t>相关文件和记录</w:t>
      </w:r>
      <w:bookmarkEnd w:id="2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《员工绩效评估表》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《季/年度绩效评估结果》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《绩效问题改进计划》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1926</Words>
  <Characters>2111</Characters>
  <Application>Microsoft Office Word</Application>
  <DocSecurity>0</DocSecurity>
  <Lines>0</Lines>
  <Paragraphs>0</Paragraphs>
  <ScaleCrop>false</ScaleCrop>
  <Company/>
  <LinksUpToDate>false</LinksUpToDate>
  <CharactersWithSpaces>2226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2025-12-12T16:42:26Z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