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lang w:val="en-US" w:eastAsia="zh-CN"/>
        </w:rPr>
      </w:pPr>
      <w:bookmarkStart w:id="0" w:name="_Toc29633"/>
      <w:r>
        <w:rPr>
          <w:rFonts w:hint="eastAsia"/>
          <w:lang w:val="en-US" w:eastAsia="zh-CN"/>
        </w:rPr>
        <w:t>天津市华夏电缆有限公司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0" w:afterLines="0"/>
        <w:ind w:left="0" w:right="0" w:firstLine="0" w:leftChars="0" w:rightChars="0" w:firstLineChars="0"/>
        <w:jc w:val="center"/>
        <w:textAlignment w:val="baseline"/>
        <w:rPr>
          <w:rFonts w:hint="default"/>
          <w:lang w:val="en-US" w:eastAsia="zh-CN"/>
        </w:rPr>
      </w:pPr>
      <w:bookmarkStart w:id="1" w:name="_Toc9066"/>
      <w:r>
        <w:rPr>
          <w:rFonts w:hint="eastAsia"/>
          <w:lang w:val="en-US" w:eastAsia="zh-CN"/>
        </w:rPr>
        <w:t>服务报告管理过程</w:t>
      </w:r>
      <w:bookmarkEnd w:id="1"/>
    </w:p>
    <w:p>
      <w:pPr>
        <w:pStyle w:val="a0"/>
        <w:keepNext w:val="0"/>
        <w:keepLines w:val="0"/>
        <w:pageBreakBefore w:val="0"/>
        <w:widowControl w:val="0"/>
        <w:kinsoku w:val="0"/>
        <w:wordWrap/>
        <w:overflowPunct/>
        <w:topLinePunct w:val="0"/>
        <w:autoSpaceDE w:val="0"/>
        <w:autoSpaceDN w:val="0"/>
        <w:bidi w:val="0"/>
        <w:adjustRightInd w:val="0"/>
        <w:snapToGrid w:val="0"/>
        <w:spacing w:before="0" w:after="0" w:afterLines="0"/>
        <w:ind w:left="0" w:right="0" w:firstLine="0" w:leftChars="0" w:rightChars="0" w:firstLineChars="0"/>
        <w:jc w:val="center"/>
        <w:textAlignment w:val="baseline"/>
        <w:rPr>
          <w:rFonts w:hint="eastAsia"/>
          <w:lang w:val="en-US" w:eastAsia="zh-CN"/>
        </w:rPr>
      </w:pPr>
      <w:bookmarkStart w:id="2" w:name="_Toc3977"/>
      <w:r>
        <w:rPr>
          <w:rFonts w:hint="eastAsia"/>
          <w:lang w:val="en-US" w:eastAsia="zh-CN"/>
        </w:rPr>
        <w:t>（HXDL-ITSS-06</w:t>
      </w:r>
      <w:bookmarkStart w:id="3" w:name="_GoBack"/>
      <w:bookmarkEnd w:id="3"/>
      <w:r>
        <w:rPr>
          <w:rFonts w:hint="eastAsia"/>
          <w:lang w:val="en-US" w:eastAsia="zh-CN"/>
        </w:rPr>
        <w:t>02）</w:t>
      </w:r>
      <w:bookmarkEnd w:id="2"/>
    </w:p>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1818"/>
        <w:gridCol w:w="4261"/>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181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default"/>
                <w:vertAlign w:val="baseline"/>
                <w:lang w:val="en-US" w:eastAsia="zh-CN"/>
              </w:rPr>
            </w:pPr>
            <w:r>
              <w:rPr>
                <w:rFonts w:hint="eastAsia"/>
                <w:vertAlign w:val="baseline"/>
                <w:lang w:val="en-US" w:eastAsia="zh-CN"/>
              </w:rPr>
              <w:t>编制人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赵川华</w:t>
            </w:r>
          </w:p>
        </w:tc>
        <w:tc>
          <w:tcPr>
            <w:tcW w:w="426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r>
        <w:tblPrEx>
          <w:tblW w:w="0" w:type="auto"/>
          <w:jc w:val="center"/>
          <w:tblCellMar>
            <w:top w:w="0" w:type="dxa"/>
            <w:left w:w="108" w:type="dxa"/>
            <w:bottom w:w="0" w:type="dxa"/>
            <w:right w:w="108" w:type="dxa"/>
          </w:tblCellMar>
        </w:tblPrEx>
        <w:trPr>
          <w:trHeight w:val="810"/>
          <w:jc w:val="center"/>
        </w:trPr>
        <w:tc>
          <w:tcPr>
            <w:tcW w:w="181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审核人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张智宏</w:t>
            </w:r>
          </w:p>
        </w:tc>
        <w:tc>
          <w:tcPr>
            <w:tcW w:w="426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r>
        <w:tblPrEx>
          <w:tblW w:w="0" w:type="auto"/>
          <w:jc w:val="center"/>
          <w:tblCellMar>
            <w:top w:w="0" w:type="dxa"/>
            <w:left w:w="108" w:type="dxa"/>
            <w:bottom w:w="0" w:type="dxa"/>
            <w:right w:w="108" w:type="dxa"/>
          </w:tblCellMar>
        </w:tblPrEx>
        <w:trPr>
          <w:trHeight w:val="635"/>
          <w:jc w:val="center"/>
        </w:trPr>
        <w:tc>
          <w:tcPr>
            <w:tcW w:w="181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eastAsia"/>
                <w:vertAlign w:val="baseline"/>
                <w:lang w:val="en-US" w:eastAsia="zh-CN"/>
              </w:rPr>
            </w:pPr>
            <w:r>
              <w:rPr>
                <w:rFonts w:hint="eastAsia"/>
                <w:vertAlign w:val="baseline"/>
                <w:lang w:val="en-US" w:eastAsia="zh-CN"/>
              </w:rPr>
              <w:t>批准人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陈垒</w:t>
            </w:r>
          </w:p>
        </w:tc>
        <w:tc>
          <w:tcPr>
            <w:tcW w:w="426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eastAsia="宋体" w:hAnsi="宋体" w:cs="宋体"/>
          <w:sz w:val="30"/>
          <w:szCs w:val="30"/>
        </w:rPr>
      </w:pPr>
      <w:bookmarkStart w:id="4" w:name="_Toc26894"/>
      <w:r>
        <w:rPr>
          <w:rFonts w:ascii="宋体" w:eastAsia="宋体" w:hAnsi="宋体" w:cs="宋体"/>
          <w:b/>
          <w:bCs/>
          <w:spacing w:val="-4"/>
          <w:sz w:val="30"/>
          <w:szCs w:val="30"/>
        </w:rPr>
        <w:t>文件编制和变更履历</w:t>
      </w:r>
      <w:bookmarkEnd w:id="4"/>
    </w:p>
    <w:tbl>
      <w:tblPr>
        <w:tblStyle w:val="TableNormal00"/>
        <w:tblW w:w="900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tblPrEx>
          <w:tblW w:w="900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Ex>
        <w:trPr>
          <w:trHeight w:val="489"/>
        </w:trPr>
        <w:tc>
          <w:tcPr>
            <w:tcW w:w="845" w:type="dxa"/>
            <w:vMerge w:val="restart"/>
            <w:tcBorders>
              <w:top w:val="single" w:sz="10" w:space="0" w:color="000000"/>
              <w:left w:val="single" w:sz="10" w:space="0" w:color="000000"/>
              <w:bottom w:val="nil"/>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eastAsia="宋体" w:hAnsi="宋体" w:cs="宋体"/>
                <w:sz w:val="24"/>
                <w:szCs w:val="24"/>
              </w:rPr>
            </w:pPr>
            <w:r>
              <w:rPr>
                <w:rFonts w:ascii="宋体" w:eastAsia="宋体" w:hAnsi="宋体" w:cs="宋体"/>
                <w:b/>
                <w:bCs/>
                <w:spacing w:val="-5"/>
                <w:sz w:val="24"/>
                <w:szCs w:val="24"/>
              </w:rPr>
              <w:t>版本</w:t>
            </w:r>
          </w:p>
        </w:tc>
        <w:tc>
          <w:tcPr>
            <w:tcW w:w="2155"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eastAsia="宋体" w:hAnsi="宋体" w:cs="宋体"/>
                <w:sz w:val="24"/>
                <w:szCs w:val="24"/>
              </w:rPr>
            </w:pPr>
            <w:r>
              <w:rPr>
                <w:rFonts w:ascii="宋体" w:eastAsia="宋体" w:hAnsi="宋体" w:cs="宋体"/>
                <w:b/>
                <w:bCs/>
                <w:spacing w:val="-4"/>
                <w:sz w:val="24"/>
                <w:szCs w:val="24"/>
              </w:rPr>
              <w:t>编制/更改</w:t>
            </w:r>
          </w:p>
        </w:tc>
        <w:tc>
          <w:tcPr>
            <w:tcW w:w="2334"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eastAsia="宋体" w:hAnsi="宋体" w:cs="宋体"/>
                <w:sz w:val="24"/>
                <w:szCs w:val="24"/>
              </w:rPr>
            </w:pPr>
            <w:r>
              <w:rPr>
                <w:rFonts w:ascii="宋体" w:eastAsia="宋体" w:hAnsi="宋体" w:cs="宋体"/>
                <w:b/>
                <w:bCs/>
                <w:spacing w:val="-6"/>
                <w:sz w:val="24"/>
                <w:szCs w:val="24"/>
              </w:rPr>
              <w:t>发布</w:t>
            </w:r>
          </w:p>
        </w:tc>
        <w:tc>
          <w:tcPr>
            <w:tcW w:w="2288"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eastAsia="宋体" w:hAnsi="宋体" w:cs="宋体"/>
                <w:sz w:val="24"/>
                <w:szCs w:val="24"/>
              </w:rPr>
            </w:pPr>
            <w:r>
              <w:rPr>
                <w:rFonts w:ascii="宋体" w:eastAsia="宋体" w:hAnsi="宋体" w:cs="宋体"/>
                <w:b/>
                <w:bCs/>
                <w:spacing w:val="-6"/>
                <w:sz w:val="24"/>
                <w:szCs w:val="24"/>
              </w:rPr>
              <w:t>实施</w:t>
            </w:r>
          </w:p>
        </w:tc>
        <w:tc>
          <w:tcPr>
            <w:tcW w:w="1383" w:type="dxa"/>
            <w:vMerge w:val="restart"/>
            <w:tcBorders>
              <w:top w:val="single" w:sz="10" w:space="0" w:color="000000"/>
              <w:bottom w:val="nil"/>
              <w:right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eastAsia="宋体" w:hAnsi="宋体" w:cs="宋体"/>
                <w:sz w:val="24"/>
                <w:szCs w:val="24"/>
              </w:rPr>
            </w:pPr>
            <w:r>
              <w:rPr>
                <w:rFonts w:ascii="宋体" w:eastAsia="宋体" w:hAnsi="宋体" w:cs="宋体"/>
                <w:b/>
                <w:bCs/>
                <w:spacing w:val="-5"/>
                <w:sz w:val="24"/>
                <w:szCs w:val="24"/>
              </w:rPr>
              <w:t>更改记录</w:t>
            </w:r>
          </w:p>
        </w:tc>
      </w:tr>
      <w:tr>
        <w:tblPrEx>
          <w:tblW w:w="9005" w:type="dxa"/>
          <w:tblInd w:w="34" w:type="dxa"/>
          <w:tblLayout w:type="fixed"/>
          <w:tblCellMar>
            <w:top w:w="0" w:type="dxa"/>
            <w:left w:w="0" w:type="dxa"/>
            <w:bottom w:w="0" w:type="dxa"/>
            <w:right w:w="0" w:type="dxa"/>
          </w:tblCellMar>
        </w:tblPrEx>
        <w:trPr>
          <w:trHeight w:val="479"/>
        </w:trPr>
        <w:tc>
          <w:tcPr>
            <w:tcW w:w="845" w:type="dxa"/>
            <w:vMerge/>
            <w:tcBorders>
              <w:top w:val="nil"/>
              <w:left w:val="single" w:sz="10" w:space="0" w:color="000000"/>
            </w:tcBorders>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eastAsia="宋体" w:hAnsi="宋体" w:cs="宋体"/>
                <w:sz w:val="24"/>
                <w:szCs w:val="24"/>
              </w:rPr>
            </w:pPr>
            <w:r>
              <w:rPr>
                <w:rFonts w:ascii="宋体" w:eastAsia="宋体" w:hAnsi="宋体" w:cs="宋体"/>
                <w:b/>
                <w:bCs/>
                <w:spacing w:val="-5"/>
                <w:sz w:val="24"/>
                <w:szCs w:val="24"/>
              </w:rPr>
              <w:t>作者</w:t>
            </w:r>
          </w:p>
        </w:tc>
        <w:tc>
          <w:tcPr>
            <w:tcW w:w="1274"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95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eastAsia="宋体" w:hAnsi="宋体" w:cs="宋体"/>
                <w:sz w:val="24"/>
                <w:szCs w:val="24"/>
              </w:rPr>
            </w:pPr>
            <w:r>
              <w:rPr>
                <w:rFonts w:ascii="宋体" w:eastAsia="宋体" w:hAnsi="宋体" w:cs="宋体"/>
                <w:b/>
                <w:bCs/>
                <w:spacing w:val="-8"/>
                <w:sz w:val="24"/>
                <w:szCs w:val="24"/>
              </w:rPr>
              <w:t>审核</w:t>
            </w:r>
          </w:p>
        </w:tc>
        <w:tc>
          <w:tcPr>
            <w:tcW w:w="137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101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eastAsia="宋体" w:hAnsi="宋体" w:cs="宋体"/>
                <w:sz w:val="24"/>
                <w:szCs w:val="24"/>
              </w:rPr>
            </w:pPr>
            <w:r>
              <w:rPr>
                <w:rFonts w:ascii="宋体" w:eastAsia="宋体" w:hAnsi="宋体" w:cs="宋体"/>
                <w:b/>
                <w:bCs/>
                <w:spacing w:val="-5"/>
                <w:sz w:val="24"/>
                <w:szCs w:val="24"/>
              </w:rPr>
              <w:t>批准</w:t>
            </w:r>
          </w:p>
        </w:tc>
        <w:tc>
          <w:tcPr>
            <w:tcW w:w="1271"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1383" w:type="dxa"/>
            <w:vMerge/>
            <w:tcBorders>
              <w:top w:val="nil"/>
              <w:right w:val="single" w:sz="10" w:space="0" w:color="000000"/>
            </w:tcBorders>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tblPrEx>
          <w:tblW w:w="9005" w:type="dxa"/>
          <w:tblInd w:w="34" w:type="dxa"/>
          <w:tblLayout w:type="fixed"/>
          <w:tblCellMar>
            <w:top w:w="0" w:type="dxa"/>
            <w:left w:w="0" w:type="dxa"/>
            <w:bottom w:w="0" w:type="dxa"/>
            <w:right w:w="0" w:type="dxa"/>
          </w:tblCellMar>
        </w:tblPrEx>
        <w:trPr>
          <w:trHeight w:val="651"/>
        </w:trPr>
        <w:tc>
          <w:tcPr>
            <w:tcW w:w="845" w:type="dxa"/>
            <w:tcBorders>
              <w:lef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spacing w:val="-4"/>
              </w:rPr>
              <w:t>赵川华</w:t>
            </w:r>
          </w:p>
        </w:tc>
        <w:tc>
          <w:tcPr>
            <w:tcW w:w="127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2025.7.7</w:t>
            </w:r>
          </w:p>
        </w:tc>
        <w:tc>
          <w:tcPr>
            <w:tcW w:w="9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张智宏</w:t>
            </w:r>
          </w:p>
        </w:tc>
        <w:tc>
          <w:tcPr>
            <w:tcW w:w="137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2025.7.7</w:t>
            </w:r>
          </w:p>
        </w:tc>
        <w:tc>
          <w:tcPr>
            <w:tcW w:w="101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陈垒</w:t>
            </w:r>
          </w:p>
        </w:tc>
        <w:tc>
          <w:tcPr>
            <w:tcW w:w="127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2025.7.7</w:t>
            </w:r>
          </w:p>
        </w:tc>
        <w:tc>
          <w:tcPr>
            <w:tcW w:w="1383" w:type="dxa"/>
            <w:tcBorders>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tblPrEx>
          <w:tblW w:w="9005" w:type="dxa"/>
          <w:tblInd w:w="34" w:type="dxa"/>
          <w:tblLayout w:type="fixed"/>
          <w:tblCellMar>
            <w:top w:w="0" w:type="dxa"/>
            <w:left w:w="0" w:type="dxa"/>
            <w:bottom w:w="0" w:type="dxa"/>
            <w:right w:w="0" w:type="dxa"/>
          </w:tblCellMar>
        </w:tblPrEx>
        <w:trPr>
          <w:trHeight w:val="485"/>
        </w:trPr>
        <w:tc>
          <w:tcPr>
            <w:tcW w:w="845" w:type="dxa"/>
            <w:tcBorders>
              <w:lef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tblPrEx>
          <w:tblW w:w="9005" w:type="dxa"/>
          <w:tblInd w:w="34" w:type="dxa"/>
          <w:tblLayout w:type="fixed"/>
          <w:tblCellMar>
            <w:top w:w="0" w:type="dxa"/>
            <w:left w:w="0" w:type="dxa"/>
            <w:bottom w:w="0" w:type="dxa"/>
            <w:right w:w="0" w:type="dxa"/>
          </w:tblCellMar>
        </w:tblPrEx>
        <w:trPr>
          <w:trHeight w:val="503"/>
        </w:trPr>
        <w:tc>
          <w:tcPr>
            <w:tcW w:w="845" w:type="dxa"/>
            <w:tcBorders>
              <w:left w:val="single" w:sz="10" w:space="0" w:color="000000"/>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sz="10" w:space="0" w:color="000000"/>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pPr>
        <w:rPr>
          <w:rFonts w:hint="default"/>
          <w:lang w:val="en-US" w:eastAsia="zh-CN"/>
        </w:rPr>
      </w:pPr>
      <w:r>
        <w:rPr>
          <w:rFonts w:hint="default"/>
          <w:lang w:val="en-US" w:eastAsia="zh-CN"/>
        </w:rPr>
        <w:br w:type="page"/>
      </w:r>
    </w:p>
    <w:sdt>
      <w:sdtPr>
        <w:rPr>
          <w:rFonts w:ascii="宋体" w:eastAsia="宋体" w:hAnsi="宋体" w:cs="Arial"/>
          <w:snapToGrid w:val="0"/>
          <w:color w:val="000000"/>
          <w:kern w:val="0"/>
          <w:sz w:val="21"/>
          <w:szCs w:val="21"/>
          <w:lang w:val="en-US" w:eastAsia="en-US" w:bidi="ar-SA"/>
        </w:rPr>
        <w:id w:val="147482743"/>
        <w:docPartObj>
          <w:docPartGallery w:val="Table of Contents"/>
          <w:docPartUnique/>
        </w:docPartObj>
      </w:sdtPr>
      <w:sdtEndPr>
        <w:rPr>
          <w:rFonts w:ascii="Arial" w:eastAsia="宋体" w:hAnsi="Arial" w:cs="Arial" w:hint="default"/>
          <w:snapToGrid w:val="0"/>
          <w:color w:val="000000"/>
          <w:kern w:val="0"/>
          <w:sz w:val="21"/>
          <w:szCs w:val="21"/>
          <w:lang w:val="en-US" w:eastAsia="zh-CN" w:bidi="ar-SA"/>
        </w:rPr>
      </w:sdtEndPr>
      <w:sdtContent>
        <w:p>
          <w:pPr>
            <w:spacing w:before="0" w:beforeLines="0" w:after="0" w:afterLines="0" w:line="240" w:lineRule="auto"/>
            <w:ind w:left="0" w:right="0" w:firstLine="0" w:leftChars="0" w:rightChars="0" w:firstLineChars="0"/>
            <w:jc w:val="center"/>
          </w:pPr>
          <w:r>
            <w:rPr>
              <w:rFonts w:ascii="宋体" w:eastAsia="宋体" w:hAnsi="宋体"/>
              <w:sz w:val="21"/>
            </w:rPr>
            <w:t>目录</w:t>
          </w:r>
        </w:p>
        <w:p>
          <w:pPr>
            <w:pStyle w:val="TOC1"/>
            <w:tabs>
              <w:tab w:val="right" w:leader="dot" w:pos="8306"/>
            </w:tabs>
          </w:pPr>
          <w:r>
            <w:rPr>
              <w:rFonts w:hint="default"/>
              <w:lang w:val="en-US" w:eastAsia="zh-CN"/>
            </w:rPr>
            <w:fldChar w:fldCharType="begin"/>
          </w:r>
          <w:r>
            <w:rPr>
              <w:rFonts w:hint="default"/>
              <w:lang w:val="en-US" w:eastAsia="zh-CN"/>
            </w:rPr>
            <w:instrText xml:space="preserve">TOC \o "1-3" \h \u </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_Toc29633 </w:instrText>
          </w:r>
          <w:r>
            <w:rPr>
              <w:rFonts w:hint="default"/>
              <w:lang w:val="en-US" w:eastAsia="zh-CN"/>
            </w:rPr>
            <w:fldChar w:fldCharType="separate"/>
          </w:r>
          <w:r>
            <w:rPr>
              <w:rFonts w:hint="eastAsia"/>
              <w:lang w:val="en-US" w:eastAsia="zh-CN"/>
            </w:rPr>
            <w:t>天津市华夏电缆有限公司</w:t>
          </w:r>
          <w:r>
            <w:tab/>
          </w:r>
          <w:r>
            <w:fldChar w:fldCharType="begin"/>
          </w:r>
          <w:r>
            <w:instrText xml:space="preserve"> PAGEREF _Toc29633 \h </w:instrText>
          </w:r>
          <w:r>
            <w:fldChar w:fldCharType="separate"/>
          </w:r>
          <w:r>
            <w:t>1</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_Toc9066 </w:instrText>
          </w:r>
          <w:r>
            <w:rPr>
              <w:rFonts w:hint="default"/>
              <w:lang w:val="en-US" w:eastAsia="zh-CN"/>
            </w:rPr>
            <w:fldChar w:fldCharType="separate"/>
          </w:r>
          <w:r>
            <w:rPr>
              <w:rFonts w:hint="eastAsia"/>
              <w:lang w:val="en-US" w:eastAsia="zh-CN"/>
            </w:rPr>
            <w:t>服务报告管理过程</w:t>
          </w:r>
          <w:r>
            <w:tab/>
          </w:r>
          <w:r>
            <w:fldChar w:fldCharType="begin"/>
          </w:r>
          <w:r>
            <w:instrText xml:space="preserve"> PAGEREF _Toc9066 \h </w:instrText>
          </w:r>
          <w:r>
            <w:fldChar w:fldCharType="separate"/>
          </w:r>
          <w:r>
            <w:t>1</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_Toc3977 </w:instrText>
          </w:r>
          <w:r>
            <w:rPr>
              <w:rFonts w:hint="default"/>
              <w:lang w:val="en-US" w:eastAsia="zh-CN"/>
            </w:rPr>
            <w:fldChar w:fldCharType="separate"/>
          </w:r>
          <w:r>
            <w:rPr>
              <w:rFonts w:hint="eastAsia"/>
              <w:lang w:val="en-US" w:eastAsia="zh-CN"/>
            </w:rPr>
            <w:t>（HXDL-ITSS-0502）</w:t>
          </w:r>
          <w:r>
            <w:tab/>
          </w:r>
          <w:r>
            <w:fldChar w:fldCharType="begin"/>
          </w:r>
          <w:r>
            <w:instrText xml:space="preserve"> PAGEREF _Toc3977 \h </w:instrText>
          </w:r>
          <w:r>
            <w:fldChar w:fldCharType="separate"/>
          </w:r>
          <w:r>
            <w:t>1</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_Toc26894 </w:instrText>
          </w:r>
          <w:r>
            <w:rPr>
              <w:rFonts w:hint="default"/>
              <w:lang w:val="en-US" w:eastAsia="zh-CN"/>
            </w:rPr>
            <w:fldChar w:fldCharType="separate"/>
          </w:r>
          <w:r>
            <w:rPr>
              <w:rFonts w:ascii="宋体" w:eastAsia="宋体" w:hAnsi="宋体" w:cs="宋体"/>
              <w:bCs/>
              <w:spacing w:val="-4"/>
              <w:szCs w:val="30"/>
            </w:rPr>
            <w:t>文件编制和变更履历</w:t>
          </w:r>
          <w:r>
            <w:tab/>
          </w:r>
          <w:r>
            <w:fldChar w:fldCharType="begin"/>
          </w:r>
          <w:r>
            <w:instrText xml:space="preserve"> PAGEREF _Toc26894 \h </w:instrText>
          </w:r>
          <w:r>
            <w:fldChar w:fldCharType="separate"/>
          </w:r>
          <w:r>
            <w:t>2</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_Toc5449 </w:instrText>
          </w:r>
          <w:r>
            <w:rPr>
              <w:rFonts w:hint="default"/>
              <w:lang w:val="en-US" w:eastAsia="zh-CN"/>
            </w:rPr>
            <w:fldChar w:fldCharType="separate"/>
          </w:r>
          <w:r>
            <w:rPr>
              <w:rFonts w:hint="default"/>
              <w:lang w:val="en-US" w:eastAsia="zh-CN"/>
            </w:rPr>
            <w:t>1. 目的</w:t>
          </w:r>
          <w:r>
            <w:tab/>
          </w:r>
          <w:r>
            <w:fldChar w:fldCharType="begin"/>
          </w:r>
          <w:r>
            <w:instrText xml:space="preserve"> PAGEREF _Toc5449 \h </w:instrText>
          </w:r>
          <w:r>
            <w:fldChar w:fldCharType="separate"/>
          </w:r>
          <w:r>
            <w:t>4</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_Toc28391 </w:instrText>
          </w:r>
          <w:r>
            <w:rPr>
              <w:rFonts w:hint="default"/>
              <w:lang w:val="en-US" w:eastAsia="zh-CN"/>
            </w:rPr>
            <w:fldChar w:fldCharType="separate"/>
          </w:r>
          <w:r>
            <w:rPr>
              <w:rFonts w:hint="default"/>
              <w:lang w:val="en-US" w:eastAsia="zh-CN"/>
            </w:rPr>
            <w:t>2. 范围</w:t>
          </w:r>
          <w:r>
            <w:tab/>
          </w:r>
          <w:r>
            <w:fldChar w:fldCharType="begin"/>
          </w:r>
          <w:r>
            <w:instrText xml:space="preserve"> PAGEREF _Toc28391 \h </w:instrText>
          </w:r>
          <w:r>
            <w:fldChar w:fldCharType="separate"/>
          </w:r>
          <w:r>
            <w:t>5</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_Toc27914 </w:instrText>
          </w:r>
          <w:r>
            <w:rPr>
              <w:rFonts w:hint="default"/>
              <w:lang w:val="en-US" w:eastAsia="zh-CN"/>
            </w:rPr>
            <w:fldChar w:fldCharType="separate"/>
          </w:r>
          <w:r>
            <w:rPr>
              <w:rFonts w:hint="default"/>
              <w:lang w:val="en-US" w:eastAsia="zh-CN"/>
            </w:rPr>
            <w:t>3. 角色与职责</w:t>
          </w:r>
          <w:r>
            <w:tab/>
          </w:r>
          <w:r>
            <w:fldChar w:fldCharType="begin"/>
          </w:r>
          <w:r>
            <w:instrText xml:space="preserve"> PAGEREF _Toc27914 \h </w:instrText>
          </w:r>
          <w:r>
            <w:fldChar w:fldCharType="separate"/>
          </w:r>
          <w:r>
            <w:t>5</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_Toc8151 </w:instrText>
          </w:r>
          <w:r>
            <w:rPr>
              <w:rFonts w:hint="default"/>
              <w:lang w:val="en-US" w:eastAsia="zh-CN"/>
            </w:rPr>
            <w:fldChar w:fldCharType="separate"/>
          </w:r>
          <w:r>
            <w:rPr>
              <w:rFonts w:hint="default"/>
              <w:lang w:val="en-US" w:eastAsia="zh-CN"/>
            </w:rPr>
            <w:t>3.1. 项目经理</w:t>
          </w:r>
          <w:r>
            <w:tab/>
          </w:r>
          <w:r>
            <w:fldChar w:fldCharType="begin"/>
          </w:r>
          <w:r>
            <w:instrText xml:space="preserve"> PAGEREF _Toc8151 \h </w:instrText>
          </w:r>
          <w:r>
            <w:fldChar w:fldCharType="separate"/>
          </w:r>
          <w:r>
            <w:t>5</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_Toc21821 </w:instrText>
          </w:r>
          <w:r>
            <w:rPr>
              <w:rFonts w:hint="default"/>
              <w:lang w:val="en-US" w:eastAsia="zh-CN"/>
            </w:rPr>
            <w:fldChar w:fldCharType="separate"/>
          </w:r>
          <w:r>
            <w:rPr>
              <w:rFonts w:hint="default"/>
              <w:lang w:val="en-US" w:eastAsia="zh-CN"/>
            </w:rPr>
            <w:t xml:space="preserve">3.2. </w:t>
          </w:r>
          <w:r>
            <w:rPr>
              <w:rFonts w:hint="eastAsia"/>
              <w:lang w:val="en-US" w:eastAsia="zh-CN"/>
            </w:rPr>
            <w:t>运维工程师</w:t>
          </w:r>
          <w:r>
            <w:tab/>
          </w:r>
          <w:r>
            <w:fldChar w:fldCharType="begin"/>
          </w:r>
          <w:r>
            <w:instrText xml:space="preserve"> PAGEREF _Toc21821 \h </w:instrText>
          </w:r>
          <w:r>
            <w:fldChar w:fldCharType="separate"/>
          </w:r>
          <w:r>
            <w:t>5</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_Toc2903 </w:instrText>
          </w:r>
          <w:r>
            <w:rPr>
              <w:rFonts w:hint="default"/>
              <w:lang w:val="en-US" w:eastAsia="zh-CN"/>
            </w:rPr>
            <w:fldChar w:fldCharType="separate"/>
          </w:r>
          <w:r>
            <w:rPr>
              <w:rFonts w:hint="default"/>
              <w:lang w:val="en-US" w:eastAsia="zh-CN"/>
            </w:rPr>
            <w:t>4. 服务报告管理过程</w:t>
          </w:r>
          <w:r>
            <w:tab/>
          </w:r>
          <w:r>
            <w:fldChar w:fldCharType="begin"/>
          </w:r>
          <w:r>
            <w:instrText xml:space="preserve"> PAGEREF _Toc2903 \h </w:instrText>
          </w:r>
          <w:r>
            <w:fldChar w:fldCharType="separate"/>
          </w:r>
          <w:r>
            <w:t>5</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_Toc26390 </w:instrText>
          </w:r>
          <w:r>
            <w:rPr>
              <w:rFonts w:hint="default"/>
              <w:lang w:val="en-US" w:eastAsia="zh-CN"/>
            </w:rPr>
            <w:fldChar w:fldCharType="separate"/>
          </w:r>
          <w:r>
            <w:rPr>
              <w:rFonts w:hint="default"/>
              <w:lang w:val="en-US" w:eastAsia="zh-CN"/>
            </w:rPr>
            <w:t>4.1. 识别服务报告要素</w:t>
          </w:r>
          <w:r>
            <w:tab/>
          </w:r>
          <w:r>
            <w:fldChar w:fldCharType="begin"/>
          </w:r>
          <w:r>
            <w:instrText xml:space="preserve"> PAGEREF _Toc26390 \h </w:instrText>
          </w:r>
          <w:r>
            <w:fldChar w:fldCharType="separate"/>
          </w:r>
          <w:r>
            <w:t>5</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_Toc5857 </w:instrText>
          </w:r>
          <w:r>
            <w:rPr>
              <w:rFonts w:hint="default"/>
              <w:lang w:val="en-US" w:eastAsia="zh-CN"/>
            </w:rPr>
            <w:fldChar w:fldCharType="separate"/>
          </w:r>
          <w:r>
            <w:rPr>
              <w:rFonts w:hint="default"/>
              <w:lang w:val="en-US" w:eastAsia="zh-CN"/>
            </w:rPr>
            <w:t>4.2. 收集服务报告内容</w:t>
          </w:r>
          <w:r>
            <w:tab/>
          </w:r>
          <w:r>
            <w:fldChar w:fldCharType="begin"/>
          </w:r>
          <w:r>
            <w:instrText xml:space="preserve"> PAGEREF _Toc5857 \h </w:instrText>
          </w:r>
          <w:r>
            <w:fldChar w:fldCharType="separate"/>
          </w:r>
          <w:r>
            <w:t>6</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_Toc18140 </w:instrText>
          </w:r>
          <w:r>
            <w:rPr>
              <w:rFonts w:hint="default"/>
              <w:lang w:val="en-US" w:eastAsia="zh-CN"/>
            </w:rPr>
            <w:fldChar w:fldCharType="separate"/>
          </w:r>
          <w:r>
            <w:rPr>
              <w:rFonts w:hint="default"/>
              <w:lang w:val="en-US" w:eastAsia="zh-CN"/>
            </w:rPr>
            <w:t>4.3. 制定服务报告</w:t>
          </w:r>
          <w:r>
            <w:tab/>
          </w:r>
          <w:r>
            <w:fldChar w:fldCharType="begin"/>
          </w:r>
          <w:r>
            <w:instrText xml:space="preserve"> PAGEREF _Toc18140 \h </w:instrText>
          </w:r>
          <w:r>
            <w:fldChar w:fldCharType="separate"/>
          </w:r>
          <w:r>
            <w:t>6</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_Toc8077 </w:instrText>
          </w:r>
          <w:r>
            <w:rPr>
              <w:rFonts w:hint="default"/>
              <w:lang w:val="en-US" w:eastAsia="zh-CN"/>
            </w:rPr>
            <w:fldChar w:fldCharType="separate"/>
          </w:r>
          <w:r>
            <w:rPr>
              <w:rFonts w:hint="default"/>
              <w:lang w:val="en-US" w:eastAsia="zh-CN"/>
            </w:rPr>
            <w:t>4.4. 服务报告的审核</w:t>
          </w:r>
          <w:r>
            <w:tab/>
          </w:r>
          <w:r>
            <w:fldChar w:fldCharType="begin"/>
          </w:r>
          <w:r>
            <w:instrText xml:space="preserve"> PAGEREF _Toc8077 \h </w:instrText>
          </w:r>
          <w:r>
            <w:fldChar w:fldCharType="separate"/>
          </w:r>
          <w:r>
            <w:t>6</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_Toc10114 </w:instrText>
          </w:r>
          <w:r>
            <w:rPr>
              <w:rFonts w:hint="default"/>
              <w:lang w:val="en-US" w:eastAsia="zh-CN"/>
            </w:rPr>
            <w:fldChar w:fldCharType="separate"/>
          </w:r>
          <w:r>
            <w:rPr>
              <w:rFonts w:hint="default"/>
              <w:lang w:val="en-US" w:eastAsia="zh-CN"/>
            </w:rPr>
            <w:t>4.5. 服务报告的发布</w:t>
          </w:r>
          <w:r>
            <w:tab/>
          </w:r>
          <w:r>
            <w:fldChar w:fldCharType="begin"/>
          </w:r>
          <w:r>
            <w:instrText xml:space="preserve"> PAGEREF _Toc10114 \h </w:instrText>
          </w:r>
          <w:r>
            <w:fldChar w:fldCharType="separate"/>
          </w:r>
          <w:r>
            <w:t>6</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_Toc13751 </w:instrText>
          </w:r>
          <w:r>
            <w:rPr>
              <w:rFonts w:hint="default"/>
              <w:lang w:val="en-US" w:eastAsia="zh-CN"/>
            </w:rPr>
            <w:fldChar w:fldCharType="separate"/>
          </w:r>
          <w:r>
            <w:rPr>
              <w:rFonts w:hint="default"/>
              <w:lang w:val="en-US" w:eastAsia="zh-CN"/>
            </w:rPr>
            <w:t>4.6. 服务报告的归档</w:t>
          </w:r>
          <w:r>
            <w:tab/>
          </w:r>
          <w:r>
            <w:fldChar w:fldCharType="begin"/>
          </w:r>
          <w:r>
            <w:instrText xml:space="preserve"> PAGEREF _Toc13751 \h </w:instrText>
          </w:r>
          <w:r>
            <w:fldChar w:fldCharType="separate"/>
          </w:r>
          <w:r>
            <w:t>6</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_Toc17483 </w:instrText>
          </w:r>
          <w:r>
            <w:rPr>
              <w:rFonts w:hint="default"/>
              <w:lang w:val="en-US" w:eastAsia="zh-CN"/>
            </w:rPr>
            <w:fldChar w:fldCharType="separate"/>
          </w:r>
          <w:r>
            <w:rPr>
              <w:rFonts w:hint="default"/>
              <w:lang w:val="en-US" w:eastAsia="zh-CN"/>
            </w:rPr>
            <w:t>5. 服务报告与其他流程的关系</w:t>
          </w:r>
          <w:r>
            <w:tab/>
          </w:r>
          <w:r>
            <w:fldChar w:fldCharType="begin"/>
          </w:r>
          <w:r>
            <w:instrText xml:space="preserve"> PAGEREF _Toc17483 \h </w:instrText>
          </w:r>
          <w:r>
            <w:fldChar w:fldCharType="separate"/>
          </w:r>
          <w:r>
            <w:t>7</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_Toc10918 </w:instrText>
          </w:r>
          <w:r>
            <w:rPr>
              <w:rFonts w:hint="default"/>
              <w:lang w:val="en-US" w:eastAsia="zh-CN"/>
            </w:rPr>
            <w:fldChar w:fldCharType="separate"/>
          </w:r>
          <w:r>
            <w:rPr>
              <w:rFonts w:hint="default"/>
              <w:lang w:val="en-US" w:eastAsia="zh-CN"/>
            </w:rPr>
            <w:t>6. KPI指标</w:t>
          </w:r>
          <w:r>
            <w:tab/>
          </w:r>
          <w:r>
            <w:fldChar w:fldCharType="begin"/>
          </w:r>
          <w:r>
            <w:instrText xml:space="preserve"> PAGEREF _Toc10918 \h </w:instrText>
          </w:r>
          <w:r>
            <w:fldChar w:fldCharType="separate"/>
          </w:r>
          <w:r>
            <w:t>7</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_Toc18501 </w:instrText>
          </w:r>
          <w:r>
            <w:rPr>
              <w:rFonts w:hint="default"/>
              <w:lang w:val="en-US" w:eastAsia="zh-CN"/>
            </w:rPr>
            <w:fldChar w:fldCharType="separate"/>
          </w:r>
          <w:r>
            <w:rPr>
              <w:rFonts w:hint="default"/>
              <w:lang w:val="en-US" w:eastAsia="zh-CN"/>
            </w:rPr>
            <w:t>7. 相关文件</w:t>
          </w:r>
          <w:r>
            <w:tab/>
          </w:r>
          <w:r>
            <w:fldChar w:fldCharType="begin"/>
          </w:r>
          <w:r>
            <w:instrText xml:space="preserve"> PAGEREF _Toc18501 \h </w:instrText>
          </w:r>
          <w:r>
            <w:fldChar w:fldCharType="separate"/>
          </w:r>
          <w:r>
            <w:t>7</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_Toc10374 </w:instrText>
          </w:r>
          <w:r>
            <w:rPr>
              <w:rFonts w:hint="default"/>
              <w:lang w:val="en-US" w:eastAsia="zh-CN"/>
            </w:rPr>
            <w:fldChar w:fldCharType="separate"/>
          </w:r>
          <w:r>
            <w:rPr>
              <w:rFonts w:hint="default"/>
              <w:lang w:val="en-US" w:eastAsia="zh-CN"/>
            </w:rPr>
            <w:t>8. 相关记录</w:t>
          </w:r>
          <w:r>
            <w:tab/>
          </w:r>
          <w:r>
            <w:fldChar w:fldCharType="begin"/>
          </w:r>
          <w:r>
            <w:instrText xml:space="preserve"> PAGEREF _Toc10374 \h </w:instrText>
          </w:r>
          <w:r>
            <w:fldChar w:fldCharType="separate"/>
          </w:r>
          <w:r>
            <w:t>7</w:t>
          </w:r>
          <w:r>
            <w:fldChar w:fldCharType="end"/>
          </w:r>
          <w:r>
            <w:rPr>
              <w:rFonts w:hint="default"/>
              <w:lang w:val="en-US" w:eastAsia="zh-CN"/>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宋体" w:hAnsi="Arial" w:cs="Arial" w:hint="default"/>
              <w:snapToGrid w:val="0"/>
              <w:color w:val="000000"/>
              <w:kern w:val="0"/>
              <w:sz w:val="21"/>
              <w:szCs w:val="21"/>
              <w:lang w:val="en-US" w:eastAsia="zh-CN" w:bidi="ar-SA"/>
            </w:rPr>
          </w:pPr>
          <w:r>
            <w:rPr>
              <w:rFonts w:hint="default"/>
              <w:lang w:val="en-US" w:eastAsia="zh-CN"/>
            </w:rPr>
            <w:fldChar w:fldCharType="end"/>
          </w:r>
        </w:p>
      </w:sdtContent>
    </w:sdt>
    <w:p>
      <w:pPr>
        <w:rPr>
          <w:rFonts w:ascii="Arial" w:eastAsia="宋体" w:hAnsi="Arial" w:cs="Arial" w:hint="default"/>
          <w:snapToGrid w:val="0"/>
          <w:color w:val="000000"/>
          <w:kern w:val="0"/>
          <w:sz w:val="21"/>
          <w:szCs w:val="21"/>
          <w:lang w:val="en-US" w:eastAsia="zh-CN" w:bidi="ar-SA"/>
        </w:rPr>
      </w:pPr>
      <w:r>
        <w:rPr>
          <w:rFonts w:ascii="Arial" w:eastAsia="宋体" w:hAnsi="Arial" w:cs="Arial" w:hint="default"/>
          <w:snapToGrid w:val="0"/>
          <w:color w:val="000000"/>
          <w:kern w:val="0"/>
          <w:sz w:val="21"/>
          <w:szCs w:val="21"/>
          <w:lang w:val="en-US" w:eastAsia="zh-CN" w:bidi="ar-SA"/>
        </w:rPr>
        <w:br w:type="page"/>
      </w:r>
    </w:p>
    <w:p>
      <w:pPr>
        <w:pStyle w:val="1"/>
        <w:bidi w:val="0"/>
        <w:rPr>
          <w:rFonts w:hint="default"/>
          <w:lang w:val="en-US" w:eastAsia="zh-CN"/>
        </w:rPr>
      </w:pPr>
      <w:bookmarkStart w:id="5" w:name="_Toc5449"/>
      <w:r>
        <w:rPr>
          <w:rFonts w:hint="default"/>
          <w:lang w:val="en-US" w:eastAsia="zh-CN"/>
        </w:rPr>
        <w:t>目的</w:t>
      </w:r>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通过对服务报告过程的管理，为客户提供优良的服务保证，提高公司员工的服务水平和服务意识，确保负责人能及时、全面了解和掌握服务项目进展情况。确保有效沟通和制定决策，编制可靠的、准确的并达成一致的报告，确保已经取得的服务级别协议能够得以评价和计量，以及在必要时进行持续改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服务报告管理制度是描述服务执行情况最重要的组成部分，指导相关人员对服务报告进行内容收集与编写。</w:t>
      </w:r>
      <w:r>
        <w:rPr>
          <w:rFonts w:hint="eastAsia"/>
          <w:lang w:val="en-US" w:eastAsia="zh-CN"/>
        </w:rPr>
        <w:tab/>
      </w:r>
    </w:p>
    <w:p>
      <w:pPr>
        <w:pStyle w:val="1"/>
        <w:bidi w:val="0"/>
        <w:rPr>
          <w:rFonts w:hint="default"/>
          <w:lang w:val="en-US" w:eastAsia="zh-CN"/>
        </w:rPr>
      </w:pPr>
      <w:bookmarkStart w:id="6" w:name="_Toc28391"/>
      <w:r>
        <w:rPr>
          <w:rFonts w:hint="default"/>
          <w:lang w:val="en-US" w:eastAsia="zh-CN"/>
        </w:rPr>
        <w:t>范围</w:t>
      </w:r>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服务报告管理制度主要包含对服务报告内容的收集与编写工作。而服务报告中的内容主要包含与客户签订的合同以及SLA中客户提出的要求的阶段性数据反映。</w:t>
      </w:r>
    </w:p>
    <w:p>
      <w:pPr>
        <w:pStyle w:val="1"/>
        <w:bidi w:val="0"/>
        <w:rPr>
          <w:rFonts w:hint="default"/>
          <w:lang w:val="en-US" w:eastAsia="zh-CN"/>
        </w:rPr>
      </w:pPr>
      <w:bookmarkStart w:id="7" w:name="_Toc27914"/>
      <w:r>
        <w:rPr>
          <w:rFonts w:hint="default"/>
          <w:lang w:val="en-US" w:eastAsia="zh-CN"/>
        </w:rPr>
        <w:t>角色与职责</w:t>
      </w:r>
      <w:bookmarkEnd w:id="7"/>
    </w:p>
    <w:p>
      <w:pPr>
        <w:pStyle w:val="2"/>
        <w:bidi w:val="0"/>
        <w:rPr>
          <w:rFonts w:hint="default"/>
          <w:lang w:val="en-US" w:eastAsia="zh-CN"/>
        </w:rPr>
      </w:pPr>
      <w:bookmarkStart w:id="8" w:name="_Toc8151"/>
      <w:r>
        <w:rPr>
          <w:rFonts w:hint="default"/>
          <w:lang w:val="en-US" w:eastAsia="zh-CN"/>
        </w:rPr>
        <w:t>项目经理</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组织内部定义部署服务报告管理制度，确保制度顺利运行，提出改进意见；负责识别服务报告受众和相应要素，制定服务报告编写计划和规范，负责按照合同及SLA要求制定服务报告；负责牵头组织服务报告的编写工作，并对服务报告进行评审；总体上管理和监控过程，建立服务报告制度实施、评估和持续优化机制。</w:t>
      </w:r>
    </w:p>
    <w:p>
      <w:pPr>
        <w:pStyle w:val="2"/>
        <w:bidi w:val="0"/>
        <w:rPr>
          <w:rFonts w:hint="default"/>
          <w:lang w:val="en-US" w:eastAsia="zh-CN"/>
        </w:rPr>
      </w:pPr>
      <w:bookmarkStart w:id="9" w:name="_Toc21821"/>
      <w:r>
        <w:rPr>
          <w:rFonts w:hint="eastAsia"/>
          <w:lang w:val="en-US" w:eastAsia="zh-CN"/>
        </w:rPr>
        <w:t>运维工程师</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负责收集、分析数据，编写服务报告；负责提交审核通过后的服务报告提交和归档；协助运维项目经理进行相关服务报告管理的支持工作；确保与本组服务相关的问题被记录、跟踪和解决。</w:t>
      </w:r>
    </w:p>
    <w:p>
      <w:pPr>
        <w:pStyle w:val="1"/>
        <w:bidi w:val="0"/>
        <w:rPr>
          <w:rFonts w:hint="default"/>
          <w:lang w:val="en-US" w:eastAsia="zh-CN"/>
        </w:rPr>
      </w:pPr>
      <w:bookmarkStart w:id="10" w:name="_Toc2903"/>
      <w:r>
        <w:rPr>
          <w:rFonts w:hint="default"/>
          <w:lang w:val="en-US" w:eastAsia="zh-CN"/>
        </w:rPr>
        <w:t>服务报告管理过程</w:t>
      </w:r>
      <w:bookmarkEnd w:id="10"/>
    </w:p>
    <w:p>
      <w:pPr>
        <w:pStyle w:val="2"/>
        <w:bidi w:val="0"/>
        <w:rPr>
          <w:rFonts w:hint="default"/>
          <w:lang w:val="en-US" w:eastAsia="zh-CN"/>
        </w:rPr>
      </w:pPr>
      <w:bookmarkStart w:id="11" w:name="_Toc26390"/>
      <w:r>
        <w:rPr>
          <w:rFonts w:hint="default"/>
          <w:lang w:val="en-US" w:eastAsia="zh-CN"/>
        </w:rPr>
        <w:t>识别服务报告要素</w:t>
      </w:r>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项目经理根据合同及客户的相关要求，主要召集相关人员确定服务报告所需的格式、规范、内容框架等信息，最终确认服务报告框架。</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根据服务级别协议上的要求，项目经理要识别出在服务报告中需要提供的数据和度量指标。识别服务报告需求应该包含公司管理层本身及相关方需求。如提供客户的服务报告内容包括：</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服务结果综述；</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主要服务工作内容；</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重大故障、问题回顾；</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下阶段服务计划；</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服务改进方案。</w:t>
      </w:r>
    </w:p>
    <w:p>
      <w:pPr>
        <w:pStyle w:val="2"/>
        <w:bidi w:val="0"/>
        <w:rPr>
          <w:rFonts w:hint="default"/>
          <w:lang w:val="en-US" w:eastAsia="zh-CN"/>
        </w:rPr>
      </w:pPr>
      <w:bookmarkStart w:id="12" w:name="_Toc5857"/>
      <w:r>
        <w:rPr>
          <w:rFonts w:hint="default"/>
          <w:lang w:val="en-US" w:eastAsia="zh-CN"/>
        </w:rPr>
        <w:t>收集服务报告内容</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项目经理定期针对具体项目督促巡检工程师/技术支持工程师整理各自负责的过程数据，要求巡检工程师/技术支持工程师对过程数据进行分析和整理后提交。</w:t>
      </w:r>
    </w:p>
    <w:p>
      <w:pPr>
        <w:pStyle w:val="2"/>
        <w:bidi w:val="0"/>
        <w:rPr>
          <w:rFonts w:hint="default"/>
          <w:lang w:val="en-US" w:eastAsia="zh-CN"/>
        </w:rPr>
      </w:pPr>
      <w:bookmarkStart w:id="13" w:name="_Toc18140"/>
      <w:r>
        <w:rPr>
          <w:rFonts w:hint="default"/>
          <w:lang w:val="en-US" w:eastAsia="zh-CN"/>
        </w:rPr>
        <w:t>制定服务报告</w:t>
      </w:r>
      <w:bookmarkEnd w:id="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项目经理安排</w:t>
      </w:r>
      <w:r>
        <w:rPr>
          <w:rFonts w:hint="eastAsia"/>
          <w:lang w:val="en-US" w:eastAsia="zh-CN"/>
        </w:rPr>
        <w:t>运维工程师</w:t>
      </w:r>
      <w:r>
        <w:rPr>
          <w:rFonts w:hint="default"/>
          <w:lang w:val="en-US" w:eastAsia="zh-CN"/>
        </w:rPr>
        <w:t>对数据进行汇总，并形成服务报告。提交运维项目经理审核确认后发送客户，并归档。服务报告应包含以下内容：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与服务目标相关的服务执行情况；</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如果有重大事件，则需要描述重大事件的回顾，统计事件影响度和处理情况；</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对报告当期的服务情况进行统计、分析和总结；</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提出改进措施、意见和建议；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提出下一步的工作计划。</w:t>
      </w:r>
    </w:p>
    <w:p>
      <w:pPr>
        <w:pStyle w:val="2"/>
        <w:bidi w:val="0"/>
        <w:rPr>
          <w:rFonts w:hint="default"/>
          <w:lang w:val="en-US" w:eastAsia="zh-CN"/>
        </w:rPr>
      </w:pPr>
      <w:bookmarkStart w:id="14" w:name="_Toc8077"/>
      <w:r>
        <w:rPr>
          <w:rFonts w:hint="default"/>
          <w:lang w:val="en-US" w:eastAsia="zh-CN"/>
        </w:rPr>
        <w:t>服务报告的审核</w:t>
      </w:r>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运维工程师</w:t>
      </w:r>
      <w:r>
        <w:rPr>
          <w:rFonts w:hint="default"/>
          <w:lang w:val="en-US" w:eastAsia="zh-CN"/>
        </w:rPr>
        <w:t>按要求定期编制各项目运维服务报告，并及时提交至各运维项目经理审阅。遇特别情况，需提交给</w:t>
      </w:r>
      <w:r>
        <w:rPr>
          <w:rFonts w:hint="eastAsia"/>
          <w:lang w:val="en-US" w:eastAsia="zh-CN"/>
        </w:rPr>
        <w:t>运维部经理</w:t>
      </w:r>
      <w:r>
        <w:rPr>
          <w:rFonts w:hint="default"/>
          <w:lang w:val="en-US" w:eastAsia="zh-CN"/>
        </w:rPr>
        <w:t>审核。</w:t>
      </w:r>
    </w:p>
    <w:p>
      <w:pPr>
        <w:pStyle w:val="2"/>
        <w:bidi w:val="0"/>
        <w:rPr>
          <w:rFonts w:hint="default"/>
          <w:lang w:val="en-US" w:eastAsia="zh-CN"/>
        </w:rPr>
      </w:pPr>
      <w:bookmarkStart w:id="15" w:name="_Toc10114"/>
      <w:r>
        <w:rPr>
          <w:rFonts w:hint="default"/>
          <w:lang w:val="en-US" w:eastAsia="zh-CN"/>
        </w:rPr>
        <w:t>服务报告的发布</w:t>
      </w:r>
      <w:bookmarkEnd w:id="1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各项目的运维服务报告经审核后，根据SLA要求进行发布。</w:t>
      </w:r>
    </w:p>
    <w:p>
      <w:pPr>
        <w:pStyle w:val="2"/>
        <w:bidi w:val="0"/>
        <w:rPr>
          <w:rFonts w:hint="default"/>
          <w:lang w:val="en-US" w:eastAsia="zh-CN"/>
        </w:rPr>
      </w:pPr>
      <w:bookmarkStart w:id="16" w:name="_Toc13751"/>
      <w:r>
        <w:rPr>
          <w:rFonts w:hint="default"/>
          <w:lang w:val="en-US" w:eastAsia="zh-CN"/>
        </w:rPr>
        <w:t>服务报告的归档</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服务报告在经过审阅和发布后，由该报告编写人负责进行归档，并上传至各项目系统的知识库。</w:t>
      </w:r>
    </w:p>
    <w:p>
      <w:pPr>
        <w:pStyle w:val="1"/>
        <w:bidi w:val="0"/>
        <w:rPr>
          <w:rFonts w:hint="default"/>
          <w:lang w:val="en-US" w:eastAsia="zh-CN"/>
        </w:rPr>
      </w:pPr>
      <w:bookmarkStart w:id="17" w:name="_Toc17483"/>
      <w:r>
        <w:rPr>
          <w:rFonts w:hint="default"/>
          <w:lang w:val="en-US" w:eastAsia="zh-CN"/>
        </w:rPr>
        <w:t>服务报告与其他流程的关系</w:t>
      </w:r>
      <w:bookmarkEnd w:id="1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服务报告管理流程中，项目经理主要负责根据各流程日常记录的数据生成所需的服务报告，包括定期向客户汇报的服务报告、内部管理报告、服务改进计划相关报告。</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管理流程需要将其输出的报告按时提交给报告审批人进行审批并及时将各类报告分发给相关人员，因此IT服务管理的其它各流程需要准确记录日常工作产生的数据，为服务报告管理流程提供支持，确保其可采集到编制报告需要的数据。</w:t>
      </w:r>
    </w:p>
    <w:p>
      <w:pPr>
        <w:pStyle w:val="1"/>
        <w:bidi w:val="0"/>
        <w:rPr>
          <w:rFonts w:hint="default"/>
          <w:lang w:val="en-US" w:eastAsia="zh-CN"/>
        </w:rPr>
      </w:pPr>
      <w:bookmarkStart w:id="18" w:name="_Toc10918"/>
      <w:r>
        <w:rPr>
          <w:rFonts w:hint="default"/>
          <w:lang w:val="en-US" w:eastAsia="zh-CN"/>
        </w:rPr>
        <w:t>KPI指标</w:t>
      </w:r>
      <w:bookmarkEnd w:id="18"/>
    </w:p>
    <w:tbl>
      <w:tblPr>
        <w:tblStyle w:val="TableNormal0"/>
        <w:tblW w:w="10216" w:type="dxa"/>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183"/>
        <w:gridCol w:w="5475"/>
        <w:gridCol w:w="1279"/>
        <w:gridCol w:w="1279"/>
      </w:tblGrid>
      <w:tr>
        <w:tblPrEx>
          <w:tblW w:w="10216" w:type="dxa"/>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413"/>
        </w:trPr>
        <w:tc>
          <w:tcPr>
            <w:tcW w:w="2183" w:type="dxa"/>
            <w:shd w:val="clear" w:color="auto" w:fill="C0C0C0"/>
          </w:tcPr>
          <w:p>
            <w:pPr>
              <w:spacing w:before="109" w:line="226" w:lineRule="auto"/>
              <w:ind w:left="699"/>
              <w:rPr>
                <w:rFonts w:ascii="仿宋" w:eastAsia="仿宋" w:hAnsi="仿宋" w:cs="仿宋"/>
                <w:sz w:val="19"/>
                <w:szCs w:val="19"/>
              </w:rPr>
            </w:pPr>
            <w:r>
              <w:rPr>
                <w:rFonts w:ascii="仿宋" w:eastAsia="仿宋" w:hAnsi="仿宋" w:cs="仿宋"/>
                <w:b/>
                <w:bCs/>
                <w:spacing w:val="5"/>
                <w:sz w:val="19"/>
                <w:szCs w:val="19"/>
              </w:rPr>
              <w:t>指标名称</w:t>
            </w:r>
          </w:p>
        </w:tc>
        <w:tc>
          <w:tcPr>
            <w:tcW w:w="5475" w:type="dxa"/>
            <w:tcBorders>
              <w:right w:val="single" w:sz="4" w:space="0" w:color="000000"/>
            </w:tcBorders>
            <w:shd w:val="clear" w:color="auto" w:fill="C0C0C0"/>
          </w:tcPr>
          <w:p>
            <w:pPr>
              <w:spacing w:before="109" w:line="226" w:lineRule="auto"/>
              <w:ind w:left="2347"/>
              <w:rPr>
                <w:rFonts w:ascii="仿宋" w:eastAsia="仿宋" w:hAnsi="仿宋" w:cs="仿宋"/>
                <w:sz w:val="19"/>
                <w:szCs w:val="19"/>
              </w:rPr>
            </w:pPr>
            <w:r>
              <w:rPr>
                <w:rFonts w:ascii="仿宋" w:eastAsia="仿宋" w:hAnsi="仿宋" w:cs="仿宋"/>
                <w:b/>
                <w:bCs/>
                <w:spacing w:val="5"/>
                <w:sz w:val="19"/>
                <w:szCs w:val="19"/>
              </w:rPr>
              <w:t>计算公式</w:t>
            </w:r>
          </w:p>
        </w:tc>
        <w:tc>
          <w:tcPr>
            <w:tcW w:w="1279" w:type="dxa"/>
            <w:tcBorders>
              <w:left w:val="single" w:sz="4" w:space="0" w:color="000000"/>
            </w:tcBorders>
            <w:shd w:val="clear" w:color="auto" w:fill="C0C0C0"/>
          </w:tcPr>
          <w:p>
            <w:pPr>
              <w:spacing w:before="109" w:line="227" w:lineRule="auto"/>
              <w:ind w:left="246"/>
              <w:rPr>
                <w:rFonts w:ascii="仿宋" w:eastAsia="仿宋" w:hAnsi="仿宋" w:cs="仿宋" w:hint="eastAsia"/>
                <w:b/>
                <w:bCs/>
                <w:spacing w:val="5"/>
                <w:sz w:val="19"/>
                <w:szCs w:val="19"/>
                <w:lang w:val="en-US" w:eastAsia="zh-CN"/>
              </w:rPr>
            </w:pPr>
            <w:r>
              <w:rPr>
                <w:rFonts w:ascii="仿宋" w:eastAsia="仿宋" w:hAnsi="仿宋" w:cs="仿宋" w:hint="eastAsia"/>
                <w:b/>
                <w:bCs/>
                <w:spacing w:val="5"/>
                <w:sz w:val="19"/>
                <w:szCs w:val="19"/>
                <w:lang w:val="en-US" w:eastAsia="zh-CN"/>
              </w:rPr>
              <w:t>目标值</w:t>
            </w:r>
          </w:p>
        </w:tc>
        <w:tc>
          <w:tcPr>
            <w:tcW w:w="1279" w:type="dxa"/>
            <w:tcBorders>
              <w:left w:val="single" w:sz="4" w:space="0" w:color="000000"/>
            </w:tcBorders>
            <w:shd w:val="clear" w:color="auto" w:fill="C0C0C0"/>
          </w:tcPr>
          <w:p>
            <w:pPr>
              <w:spacing w:before="109" w:line="227" w:lineRule="auto"/>
              <w:ind w:left="246"/>
              <w:rPr>
                <w:rFonts w:ascii="仿宋" w:eastAsia="仿宋" w:hAnsi="仿宋" w:cs="仿宋"/>
                <w:sz w:val="19"/>
                <w:szCs w:val="19"/>
              </w:rPr>
            </w:pPr>
            <w:r>
              <w:rPr>
                <w:rFonts w:ascii="仿宋" w:eastAsia="仿宋" w:hAnsi="仿宋" w:cs="仿宋"/>
                <w:b/>
                <w:bCs/>
                <w:spacing w:val="5"/>
                <w:sz w:val="19"/>
                <w:szCs w:val="19"/>
              </w:rPr>
              <w:t>考核周期</w:t>
            </w:r>
          </w:p>
        </w:tc>
      </w:tr>
      <w:tr>
        <w:tblPrEx>
          <w:tblW w:w="10216" w:type="dxa"/>
          <w:tblInd w:w="26" w:type="dxa"/>
          <w:tblLayout w:type="fixed"/>
          <w:tblCellMar>
            <w:top w:w="0" w:type="dxa"/>
            <w:left w:w="0" w:type="dxa"/>
            <w:bottom w:w="0" w:type="dxa"/>
            <w:right w:w="0" w:type="dxa"/>
          </w:tblCellMar>
        </w:tblPrEx>
        <w:trPr>
          <w:trHeight w:val="609"/>
        </w:trPr>
        <w:tc>
          <w:tcPr>
            <w:tcW w:w="2183" w:type="dxa"/>
          </w:tcPr>
          <w:p>
            <w:pPr>
              <w:spacing w:before="202" w:line="227" w:lineRule="auto"/>
              <w:ind w:left="202"/>
              <w:rPr>
                <w:rFonts w:ascii="仿宋" w:eastAsia="仿宋" w:hAnsi="仿宋" w:cs="仿宋"/>
                <w:sz w:val="19"/>
                <w:szCs w:val="19"/>
              </w:rPr>
            </w:pPr>
            <w:r>
              <w:rPr>
                <w:rFonts w:ascii="仿宋" w:eastAsia="仿宋" w:hAnsi="仿宋" w:cs="仿宋"/>
                <w:spacing w:val="8"/>
                <w:sz w:val="19"/>
                <w:szCs w:val="19"/>
              </w:rPr>
              <w:t>服务报告及时提交率</w:t>
            </w:r>
          </w:p>
        </w:tc>
        <w:tc>
          <w:tcPr>
            <w:tcW w:w="5475" w:type="dxa"/>
            <w:tcBorders>
              <w:right w:val="single" w:sz="4" w:space="0" w:color="000000"/>
            </w:tcBorders>
          </w:tcPr>
          <w:p>
            <w:pPr>
              <w:spacing w:before="202" w:line="227" w:lineRule="auto"/>
              <w:ind w:left="119"/>
              <w:rPr>
                <w:rFonts w:ascii="仿宋" w:eastAsia="仿宋" w:hAnsi="仿宋" w:cs="仿宋"/>
                <w:spacing w:val="7"/>
                <w:sz w:val="19"/>
                <w:szCs w:val="19"/>
              </w:rPr>
            </w:pPr>
            <w:r>
              <w:rPr>
                <w:rFonts w:ascii="仿宋" w:eastAsia="仿宋" w:hAnsi="仿宋" w:cs="仿宋"/>
                <w:spacing w:val="7"/>
                <w:sz w:val="19"/>
                <w:szCs w:val="19"/>
              </w:rPr>
              <w:t>服务报告按时提交的数量/应提交的服务报告数量 × 100 %</w:t>
            </w:r>
          </w:p>
        </w:tc>
        <w:tc>
          <w:tcPr>
            <w:tcW w:w="1279" w:type="dxa"/>
            <w:tcBorders>
              <w:left w:val="single" w:sz="4" w:space="0" w:color="000000"/>
            </w:tcBorders>
          </w:tcPr>
          <w:p>
            <w:pPr>
              <w:spacing w:before="202" w:line="227" w:lineRule="auto"/>
              <w:ind w:left="119"/>
              <w:rPr>
                <w:rFonts w:ascii="仿宋" w:eastAsia="仿宋" w:hAnsi="仿宋" w:cs="仿宋"/>
                <w:spacing w:val="7"/>
                <w:sz w:val="19"/>
                <w:szCs w:val="19"/>
              </w:rPr>
            </w:pPr>
            <w:r>
              <w:rPr>
                <w:rFonts w:ascii="仿宋" w:eastAsia="仿宋" w:hAnsi="仿宋" w:cs="仿宋"/>
                <w:spacing w:val="7"/>
                <w:sz w:val="19"/>
                <w:szCs w:val="19"/>
              </w:rPr>
              <w:t>≥95%</w:t>
            </w:r>
          </w:p>
        </w:tc>
        <w:tc>
          <w:tcPr>
            <w:tcW w:w="1279" w:type="dxa"/>
            <w:tcBorders>
              <w:left w:val="single" w:sz="4" w:space="0" w:color="000000"/>
            </w:tcBorders>
          </w:tcPr>
          <w:p>
            <w:pPr>
              <w:spacing w:before="202" w:line="227" w:lineRule="auto"/>
              <w:ind w:left="119"/>
              <w:rPr>
                <w:rFonts w:ascii="仿宋" w:eastAsia="仿宋" w:hAnsi="仿宋" w:cs="仿宋"/>
                <w:spacing w:val="7"/>
                <w:sz w:val="19"/>
                <w:szCs w:val="19"/>
              </w:rPr>
            </w:pPr>
            <w:r>
              <w:rPr>
                <w:rFonts w:ascii="仿宋" w:eastAsia="仿宋" w:hAnsi="仿宋" w:cs="仿宋"/>
                <w:spacing w:val="7"/>
                <w:sz w:val="19"/>
                <w:szCs w:val="19"/>
              </w:rPr>
              <w:t>季度</w:t>
            </w:r>
          </w:p>
        </w:tc>
      </w:tr>
    </w:tbl>
    <w:p>
      <w:pPr>
        <w:pStyle w:val="1"/>
        <w:bidi w:val="0"/>
        <w:rPr>
          <w:rFonts w:hint="default"/>
          <w:lang w:val="en-US" w:eastAsia="zh-CN"/>
        </w:rPr>
      </w:pPr>
      <w:bookmarkStart w:id="19" w:name="_Toc18501"/>
      <w:r>
        <w:rPr>
          <w:rFonts w:hint="default"/>
          <w:lang w:val="en-US" w:eastAsia="zh-CN"/>
        </w:rPr>
        <w:t>相关文件</w:t>
      </w:r>
      <w:bookmarkEnd w:id="19"/>
    </w:p>
    <w:p>
      <w:pPr>
        <w:pStyle w:val="a1"/>
        <w:rPr>
          <w:rFonts w:hint="default"/>
          <w:lang w:val="en-US" w:eastAsia="zh-CN"/>
        </w:rPr>
      </w:pPr>
      <w:r>
        <w:rPr>
          <w:rFonts w:hint="default"/>
          <w:lang w:val="en-US" w:eastAsia="zh-CN"/>
        </w:rPr>
        <w:t>《事件管理程序》</w:t>
      </w:r>
    </w:p>
    <w:p>
      <w:pPr>
        <w:pStyle w:val="a1"/>
        <w:rPr>
          <w:rFonts w:hint="default"/>
          <w:lang w:val="en-US" w:eastAsia="zh-CN"/>
        </w:rPr>
      </w:pPr>
      <w:r>
        <w:rPr>
          <w:rFonts w:hint="default"/>
          <w:lang w:val="en-US" w:eastAsia="zh-CN"/>
        </w:rPr>
        <w:t>《问题管理程序》</w:t>
      </w:r>
    </w:p>
    <w:p>
      <w:pPr>
        <w:pStyle w:val="a1"/>
        <w:rPr>
          <w:rFonts w:hint="default"/>
          <w:lang w:val="en-US" w:eastAsia="zh-CN"/>
        </w:rPr>
      </w:pPr>
      <w:r>
        <w:rPr>
          <w:rFonts w:hint="default"/>
          <w:lang w:val="en-US" w:eastAsia="zh-CN"/>
        </w:rPr>
        <w:t>《变更管理程序》</w:t>
      </w:r>
    </w:p>
    <w:p>
      <w:pPr>
        <w:pStyle w:val="a1"/>
        <w:rPr>
          <w:rFonts w:hint="default"/>
          <w:lang w:val="en-US" w:eastAsia="zh-CN"/>
        </w:rPr>
      </w:pPr>
      <w:r>
        <w:rPr>
          <w:rFonts w:hint="default"/>
          <w:lang w:val="en-US" w:eastAsia="zh-CN"/>
        </w:rPr>
        <w:t>《发布管理程序》</w:t>
      </w:r>
    </w:p>
    <w:p>
      <w:pPr>
        <w:pStyle w:val="a1"/>
        <w:rPr>
          <w:rFonts w:hint="default"/>
          <w:lang w:val="en-US" w:eastAsia="zh-CN"/>
        </w:rPr>
      </w:pPr>
      <w:r>
        <w:rPr>
          <w:rFonts w:hint="default"/>
          <w:lang w:val="en-US" w:eastAsia="zh-CN"/>
        </w:rPr>
        <w:t>《配置管理程序》</w:t>
      </w:r>
    </w:p>
    <w:p>
      <w:pPr>
        <w:pStyle w:val="a1"/>
        <w:rPr>
          <w:rFonts w:hint="default"/>
          <w:lang w:val="en-US" w:eastAsia="zh-CN"/>
        </w:rPr>
      </w:pPr>
      <w:r>
        <w:rPr>
          <w:rFonts w:hint="default"/>
          <w:lang w:val="en-US" w:eastAsia="zh-CN"/>
        </w:rPr>
        <w:t>《信息安全管理程序》</w:t>
      </w:r>
    </w:p>
    <w:p>
      <w:pPr>
        <w:pStyle w:val="1"/>
        <w:bidi w:val="0"/>
        <w:rPr>
          <w:rFonts w:hint="default"/>
          <w:lang w:val="en-US" w:eastAsia="zh-CN"/>
        </w:rPr>
      </w:pPr>
      <w:bookmarkStart w:id="20" w:name="_Toc10374"/>
      <w:r>
        <w:rPr>
          <w:rFonts w:hint="default"/>
          <w:lang w:val="en-US" w:eastAsia="zh-CN"/>
        </w:rPr>
        <w:t>相关记录</w:t>
      </w:r>
      <w:bookmarkEnd w:id="20"/>
    </w:p>
    <w:p>
      <w:pPr>
        <w:pStyle w:val="a1"/>
        <w:rPr>
          <w:rFonts w:hint="default"/>
          <w:lang w:val="en-US" w:eastAsia="zh-CN"/>
        </w:rPr>
      </w:pPr>
      <w:r>
        <w:rPr>
          <w:rFonts w:hint="default"/>
          <w:lang w:val="en-US" w:eastAsia="zh-CN"/>
        </w:rPr>
        <w:t>《服务级别协议》</w:t>
      </w:r>
    </w:p>
    <w:p>
      <w:pPr>
        <w:pStyle w:val="a1"/>
        <w:rPr>
          <w:rFonts w:hint="default"/>
          <w:lang w:val="en-US" w:eastAsia="zh-CN"/>
        </w:rPr>
      </w:pPr>
      <w:r>
        <w:rPr>
          <w:rFonts w:hint="default"/>
          <w:lang w:val="en-US" w:eastAsia="zh-CN"/>
        </w:rPr>
        <w:t>《服务报告》</w:t>
      </w: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327108FC"/>
    <w:multiLevelType w:val="singleLevel"/>
    <w:tmpl w:val="327108FC"/>
    <w:lvl w:ilvl="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7</Pages>
  <Words>1659</Words>
  <Characters>1786</Characters>
  <Application>Microsoft Office Word</Application>
  <DocSecurity>0</DocSecurity>
  <Lines>0</Lines>
  <Paragraphs>0</Paragraphs>
  <ScaleCrop>false</ScaleCrop>
  <Company/>
  <LinksUpToDate>false</LinksUpToDate>
  <CharactersWithSpaces>1866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18442</dc:creator>
  <cp:lastModifiedBy>郝宇</cp:lastModifiedBy>
  <cp:revision>0</cp:revision>
  <dcterms:created xsi:type="dcterms:W3CDTF">2025-09-06T12:49:00Z</dcterms:created>
  <dcterms:modified xsi:type="dcterms:W3CDTF">2025-12-14T16:15:26Z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0D32182671224755A6D4CE835A5A6EA6_12</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