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Toc4005"/>
      <w:bookmarkStart w:id="1" w:name="heading_2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textAlignment w:val="baseline"/>
        <w:rPr>
          <w:rFonts w:hint="default"/>
          <w:lang w:val="en-US" w:eastAsia="zh-CN"/>
        </w:rPr>
      </w:pPr>
      <w:bookmarkStart w:id="2" w:name="_Toc11626"/>
      <w:r>
        <w:rPr>
          <w:rFonts w:hint="eastAsia"/>
          <w:lang w:val="en-US" w:eastAsia="zh-CN"/>
        </w:rPr>
        <w:t>容量管理程序</w:t>
      </w:r>
      <w:bookmarkEnd w:id="2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6312"/>
      <w:r>
        <w:rPr>
          <w:rFonts w:hint="eastAsia"/>
          <w:lang w:val="en-US" w:eastAsia="zh-CN"/>
        </w:rPr>
        <w:t>（HXDL-ITSS-0609）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bookmarkStart w:id="4" w:name="_GoBack"/>
      <w:bookmarkEnd w:id="4"/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0970"/>
        <w:docPartObj>
          <w:docPartGallery w:val="Table of Contents"/>
          <w:docPartUnique/>
        </w:docPartObj>
      </w:sdt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_Toc4005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_Toc4005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_Toc11626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容量管理程序</w:t>
          </w:r>
          <w:r>
            <w:tab/>
          </w:r>
          <w:r>
            <w:fldChar w:fldCharType="begin"/>
          </w:r>
          <w:r>
            <w:instrText xml:space="preserve"> PAGEREF _Toc11626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_Toc26312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（HXDL-ITSS-0609）</w:t>
          </w:r>
          <w:r>
            <w:tab/>
          </w:r>
          <w:r>
            <w:fldChar w:fldCharType="begin"/>
          </w:r>
          <w:r>
            <w:instrText xml:space="preserve"> PAGEREF _Toc26312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_Toc6296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_Toc6296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_Toc26523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_Toc26523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_Toc4779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_Toc4779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_Toc14564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职责与权限</w:t>
          </w:r>
          <w:r>
            <w:tab/>
          </w:r>
          <w:r>
            <w:fldChar w:fldCharType="begin"/>
          </w:r>
          <w:r>
            <w:instrText xml:space="preserve"> PAGEREF _Toc14564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_Toc16625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_Toc16625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_Toc9677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  <w:lang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_Toc9677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_Toc30880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_Toc30880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_Toc21155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采购部</w:t>
          </w:r>
          <w:r>
            <w:tab/>
          </w:r>
          <w:r>
            <w:fldChar w:fldCharType="begin"/>
          </w:r>
          <w:r>
            <w:instrText xml:space="preserve"> PAGEREF _Toc21155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_Toc2319 </w:instrText>
          </w:r>
          <w: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_Toc2319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_Toc9372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容量管理流程</w:t>
          </w:r>
          <w:r>
            <w:tab/>
          </w:r>
          <w:r>
            <w:fldChar w:fldCharType="begin"/>
          </w:r>
          <w:r>
            <w:instrText xml:space="preserve"> PAGEREF _Toc9372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_Toc12534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容量基准建立</w:t>
          </w:r>
          <w:r>
            <w:tab/>
          </w:r>
          <w:r>
            <w:fldChar w:fldCharType="begin"/>
          </w:r>
          <w:r>
            <w:instrText xml:space="preserve"> PAGEREF _Toc12534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_Toc23705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容量监测</w:t>
          </w:r>
          <w:r>
            <w:tab/>
          </w:r>
          <w:r>
            <w:fldChar w:fldCharType="begin"/>
          </w:r>
          <w:r>
            <w:instrText xml:space="preserve"> PAGEREF _Toc23705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_Toc24206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监测范围与指标</w:t>
          </w:r>
          <w:r>
            <w:tab/>
          </w:r>
          <w:r>
            <w:fldChar w:fldCharType="begin"/>
          </w:r>
          <w:r>
            <w:instrText xml:space="preserve"> PAGEREF _Toc24206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_Toc9543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监测数据管理</w:t>
          </w:r>
          <w:r>
            <w:tab/>
          </w:r>
          <w:r>
            <w:fldChar w:fldCharType="begin"/>
          </w:r>
          <w:r>
            <w:instrText xml:space="preserve"> PAGEREF _Toc9543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_Toc6593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容量预警与处置</w:t>
          </w:r>
          <w:r>
            <w:tab/>
          </w:r>
          <w:r>
            <w:fldChar w:fldCharType="begin"/>
          </w:r>
          <w:r>
            <w:instrText xml:space="preserve"> PAGEREF _Toc6593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_Toc5907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预警分级</w:t>
          </w:r>
          <w:r>
            <w:tab/>
          </w:r>
          <w:r>
            <w:fldChar w:fldCharType="begin"/>
          </w:r>
          <w:r>
            <w:instrText xml:space="preserve"> PAGEREF _Toc5907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_Toc12493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预警处置流程</w:t>
          </w:r>
          <w:r>
            <w:tab/>
          </w:r>
          <w:r>
            <w:fldChar w:fldCharType="begin"/>
          </w:r>
          <w:r>
            <w:instrText xml:space="preserve"> PAGEREF _Toc12493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_Toc2237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容量分析与规划</w:t>
          </w:r>
          <w:r>
            <w:tab/>
          </w:r>
          <w:r>
            <w:fldChar w:fldCharType="begin"/>
          </w:r>
          <w:r>
            <w:instrText xml:space="preserve"> PAGEREF _Toc2237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_Toc17158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定期分析</w:t>
          </w:r>
          <w:r>
            <w:tab/>
          </w:r>
          <w:r>
            <w:fldChar w:fldCharType="begin"/>
          </w:r>
          <w:r>
            <w:instrText xml:space="preserve"> PAGEREF _Toc17158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_Toc31125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容量规划</w:t>
          </w:r>
          <w:r>
            <w:tab/>
          </w:r>
          <w:r>
            <w:fldChar w:fldCharType="begin"/>
          </w:r>
          <w:r>
            <w:instrText xml:space="preserve"> PAGEREF _Toc31125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_Toc25239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容量优化与扩容</w:t>
          </w:r>
          <w:r>
            <w:tab/>
          </w:r>
          <w:r>
            <w:fldChar w:fldCharType="begin"/>
          </w:r>
          <w:r>
            <w:instrText xml:space="preserve"> PAGEREF _Toc25239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_Toc2735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容量优化</w:t>
          </w:r>
          <w:r>
            <w:tab/>
          </w:r>
          <w:r>
            <w:fldChar w:fldCharType="begin"/>
          </w:r>
          <w:r>
            <w:instrText xml:space="preserve"> PAGEREF _Toc2735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_Toc3452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容量扩容</w:t>
          </w:r>
          <w:r>
            <w:tab/>
          </w:r>
          <w:r>
            <w:fldChar w:fldCharType="begin"/>
          </w:r>
          <w:r>
            <w:instrText xml:space="preserve"> PAGEREF _Toc3452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_Toc26247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考核与改进</w:t>
          </w:r>
          <w:r>
            <w:tab/>
          </w:r>
          <w:r>
            <w:fldChar w:fldCharType="begin"/>
          </w:r>
          <w:r>
            <w:instrText xml:space="preserve"> PAGEREF _Toc26247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_Toc32515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_Toc32515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_Toc13034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持续改进</w:t>
          </w:r>
          <w:r>
            <w:tab/>
          </w:r>
          <w:r>
            <w:fldChar w:fldCharType="begin"/>
          </w:r>
          <w:r>
            <w:instrText xml:space="preserve"> PAGEREF _Toc13034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_Toc9875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相关文件与记录</w:t>
          </w:r>
          <w:r>
            <w:tab/>
          </w:r>
          <w:r>
            <w:fldChar w:fldCharType="begin"/>
          </w:r>
          <w:r>
            <w:instrText xml:space="preserve"> PAGEREF _Toc9875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_Toc18219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_Toc18219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_Toc13720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相关记录</w:t>
          </w:r>
          <w:r>
            <w:tab/>
          </w:r>
          <w:r>
            <w:fldChar w:fldCharType="begin"/>
          </w:r>
          <w:r>
            <w:instrText xml:space="preserve"> PAGEREF _Toc13720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_Toc28900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_Toc28900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End w:id="1"/>
      <w:bookmarkStart w:id="5" w:name="heading_1"/>
      <w:bookmarkStart w:id="6" w:name="_Toc6296"/>
      <w:r>
        <w:t>目的</w:t>
      </w:r>
      <w:bookmarkEnd w:id="5"/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本制度依据ITSS《信息技术服务 运行维护 第1部分：通用要求》及公司《服务可用性和连续性管理制度》，建立科学的容量管理机制，实现以下目标：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实时监控IT资源容量状态，确保资源使用符合服务级别协议（SLA）要求，保障服务稳定运行；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提前识别容量瓶颈，预测资源需求变化，为资源扩容、优化提供数据支撑，避免因容量不足导致服务中断；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合理规划IT资源配置，提高资源利用率，降低运维成本，满足ITSS运维服务体系规范化要求。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6523"/>
      <w:r>
        <w:t>范围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本制度适用于公司所有运维服务项目中IT资源的容量规划、监测、分析、优化及扩容全流程，涵盖以下内容：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硬件资源：服务器（CPU、内存、磁盘）、存储设备（存储空间、IOPS）、网络设备（带宽、端口容量）；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软件资源：操作系统资源占用、数据库连接数、应用服务并发处理能力；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数据资源：业务数据存储容量、日志数据增长趋势、备份数据容量。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本制度约束对象包括</w:t>
      </w:r>
      <w:r>
        <w:rPr>
          <w:rFonts w:hint="eastAsia"/>
          <w:lang w:val="en-US" w:eastAsia="zh-CN"/>
        </w:rPr>
        <w:t>运维部、质量部、人力资源部</w:t>
      </w:r>
      <w:r>
        <w:t>、</w:t>
      </w:r>
      <w:r>
        <w:rPr>
          <w:rFonts w:hint="eastAsia"/>
          <w:lang w:val="en-US" w:eastAsia="zh-CN"/>
        </w:rPr>
        <w:t>研发部</w:t>
      </w:r>
      <w:r>
        <w:t>及所有参与IT资源管理的人员。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3"/>
      <w:bookmarkStart w:id="9" w:name="_Toc4779"/>
      <w:r>
        <w:t>术语与定义</w:t>
      </w:r>
      <w:bookmarkEnd w:id="8"/>
      <w:bookmarkEnd w:id="9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8"/>
        <w:gridCol w:w="702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术语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定义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容量管理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对IT资源的容量进行规划、监测、分析、优化及扩容的全流程管理活动，确保资源供需平衡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容量瓶颈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IT资源容量无法满足业务需求，导致服务性能下降或不可用的关键限制点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容量规划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根据业务发展趋势及历史数据，预测IT资源需求，制定资源配置及扩容计划的过程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资源利用率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实际使用的资源容量与总资源容量的百分比，是衡量资源使用效率的核心指标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IOPS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每秒输入/输出操作数，是衡量存储设备性能及容量承载能力的重要指标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4"/>
      <w:bookmarkStart w:id="11" w:name="_Toc14564"/>
      <w:r>
        <w:t>职责与权限</w:t>
      </w:r>
      <w:bookmarkEnd w:id="10"/>
      <w:bookmarkEnd w:id="1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6625"/>
      <w:r>
        <w:rPr>
          <w:rFonts w:hint="eastAsia"/>
          <w:lang w:eastAsia="zh-CN"/>
        </w:rPr>
        <w:t>运维部</w:t>
      </w:r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作为制度执行主体，负责容量管理的日常监测、数据统计与分析工作；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牵头制定容量规划方案、优化措施及扩容计划，跟踪实施效果；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识别容量瓶颈，及时发起容量预警并协调相关部门处置；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定期形成《容量管理报告》，提交管理层及客户（如需）。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9677"/>
      <w:r>
        <w:rPr>
          <w:rFonts w:hint="eastAsia"/>
          <w:lang w:eastAsia="zh-CN"/>
        </w:rPr>
        <w:t>研发部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提供技术支撑，协助分析容量瓶颈成因，制定技术优化方案（如系统调优、资源调度）；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负责容量监测工具的部署、维护及升级，确保监测数据的准确性；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参与容量规划及扩容方案的技术可行性评估。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0880"/>
      <w:r>
        <w:rPr>
          <w:rFonts w:hint="eastAsia"/>
          <w:lang w:eastAsia="zh-CN"/>
        </w:rPr>
        <w:t>服务台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对接客户，收集业务发展计划及容量需求相关信息（如用户增长、新业务上线）；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容量预警或扩容时，及时与客户沟通，同步相关情况并确认需求；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收集客户对容量相关服务的反馈，协助</w:t>
      </w:r>
      <w:r>
        <w:rPr>
          <w:rFonts w:hint="eastAsia"/>
          <w:lang w:eastAsia="zh-CN"/>
        </w:rPr>
        <w:t>运维部</w:t>
      </w:r>
      <w:r>
        <w:t>优化管理措施。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8"/>
      <w:bookmarkStart w:id="16" w:name="_Toc21155"/>
      <w:r>
        <w:t>采购部</w:t>
      </w:r>
      <w:bookmarkEnd w:id="15"/>
      <w:bookmarkEnd w:id="1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根据审批通过的扩容计划，负责IT资源的采购工作，确保资源及时到位；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对接供应商，获取资源采购周期、成本等信息，为容量规划提供数据支撑。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319"/>
      <w:r>
        <w:rPr>
          <w:rFonts w:hint="eastAsia"/>
          <w:lang w:val="en-US" w:eastAsia="zh-CN"/>
        </w:rPr>
        <w:t>总经理</w:t>
      </w:r>
      <w:bookmarkEnd w:id="1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审批容量规划方案、重大容量优化措施及扩容计划；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保障容量管理所需的资源（监测工具、人员培训、采购资金）；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评审容量管理工作成效，推动持续改进。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0"/>
      <w:bookmarkStart w:id="19" w:name="_Toc9372"/>
      <w:r>
        <w:t>容量管理流程</w:t>
      </w:r>
      <w:bookmarkEnd w:id="18"/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1"/>
      <w:bookmarkStart w:id="21" w:name="_Toc12534"/>
      <w:r>
        <w:t>容量基准建立</w:t>
      </w:r>
      <w:bookmarkEnd w:id="20"/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在运维项目启动初期，联合</w:t>
      </w:r>
      <w:r>
        <w:rPr>
          <w:rFonts w:hint="eastAsia"/>
          <w:lang w:eastAsia="zh-CN"/>
        </w:rPr>
        <w:t>研发部</w:t>
      </w:r>
      <w:r>
        <w:t>、</w:t>
      </w:r>
      <w:r>
        <w:rPr>
          <w:rFonts w:hint="eastAsia"/>
          <w:lang w:eastAsia="zh-CN"/>
        </w:rPr>
        <w:t>服务台</w:t>
      </w:r>
      <w:r>
        <w:t>建立容量基准，明确以下内容并纳入《容量管理基准表》：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IT资源基础信息：服务器、存储、网络设备等的型号、配置参数、总容量；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SLA关联要求：结合服务可用性目标，明确各资源的合理利用率阈值（如CPU利用率≤70%、磁盘空间利用率≤80%）；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业务特征数据：当前业务用户数、数据增长速率、峰值业务量等基准数据。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容量基准需经客户确认（如需）及管理层审批，当IT资源或业务需求发生重大变化时，需及时更新基准信息。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2"/>
      <w:bookmarkStart w:id="23" w:name="_Toc23705"/>
      <w:r>
        <w:t>容量监测</w:t>
      </w:r>
      <w:bookmarkEnd w:id="22"/>
      <w:bookmarkEnd w:id="23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3"/>
      <w:bookmarkStart w:id="25" w:name="_Toc24206"/>
      <w:r>
        <w:t>监测范围与指标</w:t>
      </w:r>
      <w:bookmarkEnd w:id="24"/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通过容量监测工具（如服务器监控系统、存储管理平台、网络流量分析工具）对IT资源进行实时监测，核心监测指标如下：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8"/>
        <w:gridCol w:w="3450"/>
        <w:gridCol w:w="1060"/>
        <w:gridCol w:w="251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资源类型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核心监测指标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监测频率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预警阈值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服务器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CPU利用率、内存占用率、磁盘空间利用率、磁盘IO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CPU/内存≥70%，磁盘空间≥80%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存储设备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存储空间利用率、IOPS、读写延迟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空间≥80%，IOPS≥85%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网络设备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带宽利用率、端口占用率、丢包率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带宽≥80%，端口≥90%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数据库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连接数、表空间利用率、查询响应时间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连接数≥80%，表空间≥85%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数据资源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业务数据容量、日志数据容量、备份数据容量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每日1次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增长速率超出历史均值50%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4"/>
      <w:bookmarkStart w:id="27" w:name="_Toc9543"/>
      <w:r>
        <w:t>监测数据管理</w:t>
      </w:r>
      <w:bookmarkEnd w:id="26"/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监测数据需实现自动采集、实时存储及可视化展示，具体要求如下：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数据存储：监测原始数据存储周期不少于6个月，统计分析数据永久留存；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数据展示：通过监控大屏实时展示核心指标，异常数据自动标红提醒；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数据校验：</w:t>
      </w:r>
      <w:r>
        <w:rPr>
          <w:rFonts w:hint="eastAsia"/>
          <w:lang w:eastAsia="zh-CN"/>
        </w:rPr>
        <w:t>研发部</w:t>
      </w:r>
      <w:r>
        <w:t>每周对监测数据准确性进行校验，确保数据可靠。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5"/>
      <w:bookmarkStart w:id="29" w:name="_Toc6593"/>
      <w:r>
        <w:t>容量预警与处置</w:t>
      </w:r>
      <w:bookmarkEnd w:id="28"/>
      <w:bookmarkEnd w:id="29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6"/>
      <w:bookmarkStart w:id="31" w:name="_Toc5907"/>
      <w:r>
        <w:t>预警分级</w:t>
      </w:r>
      <w:bookmarkEnd w:id="30"/>
      <w:bookmarkEnd w:id="3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当监测指标达到或超出预警阈值时，系统自动触发预警，</w:t>
      </w:r>
      <w:r>
        <w:rPr>
          <w:rFonts w:hint="eastAsia"/>
          <w:lang w:eastAsia="zh-CN"/>
        </w:rPr>
        <w:t>运维部</w:t>
      </w:r>
      <w:r>
        <w:t>根据预警紧急程度将其分为三级：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8"/>
        <w:gridCol w:w="3812"/>
        <w:gridCol w:w="276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预警等级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响应时限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一级（紧急）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指标≥90%阈值，或已影响服务性能，如CPU利用率≥90%、磁盘空间≥90%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15分钟内响应，立即处置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二级（重要）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指标≥80%且＜90%阈值，短期可能出现瓶颈，如带宽利用率80%-90%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1小时内响应，24小时内制定处置方案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三级（一般）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指标≥预警阈值且＜80%阈值，长期需关注，如数据增长速率异常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24小时内响应，纳入周度分析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7"/>
      <w:bookmarkStart w:id="33" w:name="_Toc12493"/>
      <w:r>
        <w:t>预警处置流程</w:t>
      </w:r>
      <w:bookmarkEnd w:id="32"/>
      <w:bookmarkEnd w:id="3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预警接收：</w:t>
      </w:r>
      <w:r>
        <w:rPr>
          <w:rFonts w:hint="eastAsia"/>
          <w:lang w:eastAsia="zh-CN"/>
        </w:rPr>
        <w:t>运维部</w:t>
      </w:r>
      <w:r>
        <w:t>通过监控系统、短信、邮件等方式接收预警信息，立即记录《容量预警记录表》；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原因分析：联合</w:t>
      </w:r>
      <w:r>
        <w:rPr>
          <w:rFonts w:hint="eastAsia"/>
          <w:lang w:eastAsia="zh-CN"/>
        </w:rPr>
        <w:t>研发部</w:t>
      </w:r>
      <w:r>
        <w:t>分析预警原因，区分临时性峰值（如业务高峰期）与持续性增长（如用户量增加）；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临时处置：对紧急预警采取临时措施缓解压力，如关闭非必要服务、调整资源调度策略、清理无效数据；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长期处置：对重要及一般预警，制定长期方案，如系统优化、资源扩容，并明确责任部门及完成时限；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结果反馈：处置完成后，</w:t>
      </w:r>
      <w:r>
        <w:rPr>
          <w:rFonts w:hint="eastAsia"/>
          <w:lang w:eastAsia="zh-CN"/>
        </w:rPr>
        <w:t>运维部</w:t>
      </w:r>
      <w:r>
        <w:t>验证效果，将结果同步至</w:t>
      </w:r>
      <w:r>
        <w:rPr>
          <w:rFonts w:hint="eastAsia"/>
          <w:lang w:eastAsia="zh-CN"/>
        </w:rPr>
        <w:t>服务台</w:t>
      </w:r>
      <w:r>
        <w:t>及管理层，更新预警记录。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8"/>
      <w:bookmarkStart w:id="35" w:name="_Toc2237"/>
      <w:r>
        <w:t>容量分析与规划</w:t>
      </w:r>
      <w:bookmarkEnd w:id="34"/>
      <w:bookmarkEnd w:id="3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9"/>
      <w:bookmarkStart w:id="37" w:name="_Toc17158"/>
      <w:r>
        <w:t>定期分析</w:t>
      </w:r>
      <w:bookmarkEnd w:id="36"/>
      <w:bookmarkEnd w:id="3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按以下周期开展容量分析，形成分析报告：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周分析：汇总本周容量监测数据，识别短期容量风险，形成《周容量分析简报》；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月分析：结合月度业务数据（用户增长、交易量），分析容量变化趋势，评估资源利用率，形成《月容量管理报告》；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年分析：结合客户业务发展规划，预测未来1-3年容量需求，形成《年度容量规划报告》。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0"/>
      <w:bookmarkStart w:id="39" w:name="_Toc31125"/>
      <w:r>
        <w:t>容量规划</w:t>
      </w:r>
      <w:bookmarkEnd w:id="38"/>
      <w:bookmarkEnd w:id="3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基于定期分析结果，制定容量规划方案，核心内容包括：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需求预测：结合历史增长速率、业务发展计划，预测CPU、内存、存储、带宽等资源的未来需求；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配置方案：明确现有资源优化方向及新增资源的型号、数量、配置参数；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实施计划：分阶段制定资源扩容及优化的时间表、责任人，明确采购及部署周期；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成本估算：联合采购部估算规划方案所需成本，确保经济性。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年度容量规划方案需经</w:t>
      </w:r>
      <w:r>
        <w:rPr>
          <w:rFonts w:hint="eastAsia"/>
          <w:lang w:eastAsia="zh-CN"/>
        </w:rPr>
        <w:t>研发部</w:t>
      </w:r>
      <w:r>
        <w:t>、采购部审核，报管理层及客户（如需）批准后实施。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1"/>
      <w:bookmarkStart w:id="41" w:name="_Toc25239"/>
      <w:r>
        <w:t>容量优化与扩容</w:t>
      </w:r>
      <w:bookmarkEnd w:id="40"/>
      <w:bookmarkEnd w:id="41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2"/>
      <w:bookmarkStart w:id="43" w:name="_Toc2735"/>
      <w:r>
        <w:t>容量优化</w:t>
      </w:r>
      <w:bookmarkEnd w:id="42"/>
      <w:bookmarkEnd w:id="4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优先通过技术优化提升资源利用率，减少不必要的扩容，优化措施包括：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系统优化：</w:t>
      </w:r>
      <w:r>
        <w:rPr>
          <w:rFonts w:hint="eastAsia"/>
          <w:lang w:eastAsia="zh-CN"/>
        </w:rPr>
        <w:t>研发部</w:t>
      </w:r>
      <w:r>
        <w:t>对服务器、数据库进行调优，如优化SQL语句、调整内存分配、关闭冗余服务；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资源调度：</w:t>
      </w:r>
      <w:r>
        <w:rPr>
          <w:rFonts w:hint="eastAsia"/>
          <w:lang w:eastAsia="zh-CN"/>
        </w:rPr>
        <w:t>运维部</w:t>
      </w:r>
      <w:r>
        <w:t>通过虚拟化技术整合服务器资源，实现负载均衡，提高CPU、内存利用率；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数据治理：清理无效业务数据、压缩日志数据、归档历史数据，释放存储空间；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带宽优化：采用数据压缩、缓存技术减少网络带宽占用，优化网络传输效率。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优化实施后，</w:t>
      </w:r>
      <w:r>
        <w:rPr>
          <w:rFonts w:hint="eastAsia"/>
          <w:lang w:eastAsia="zh-CN"/>
        </w:rPr>
        <w:t>运维部</w:t>
      </w:r>
      <w:r>
        <w:t>需跟踪验证效果，确保资源利用率达到合理范围。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3"/>
      <w:bookmarkStart w:id="45" w:name="_Toc3452"/>
      <w:r>
        <w:t>容量扩容</w:t>
      </w:r>
      <w:bookmarkEnd w:id="44"/>
      <w:bookmarkEnd w:id="4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当容量优化无法满足需求时，启动扩容流程：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扩容申请：</w:t>
      </w:r>
      <w:r>
        <w:rPr>
          <w:rFonts w:hint="eastAsia"/>
          <w:lang w:eastAsia="zh-CN"/>
        </w:rPr>
        <w:t>运维部</w:t>
      </w:r>
      <w:r>
        <w:t>填写《容量扩容申请表》，说明扩容原因、所需资源、预算及时间要求；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审批流程：经</w:t>
      </w:r>
      <w:r>
        <w:rPr>
          <w:rFonts w:hint="eastAsia"/>
          <w:lang w:eastAsia="zh-CN"/>
        </w:rPr>
        <w:t>研发部</w:t>
      </w:r>
      <w:r>
        <w:t>（技术可行性）、采购部（成本估算）审核后，报管理层及客户（如需）批准；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资源采购：采购部根据审批结果，按公司采购流程完成资源采购，确保资源按时到位；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部署实施：</w:t>
      </w:r>
      <w:r>
        <w:rPr>
          <w:rFonts w:hint="eastAsia"/>
          <w:lang w:eastAsia="zh-CN"/>
        </w:rPr>
        <w:t>研发部</w:t>
      </w:r>
      <w:r>
        <w:t>联合</w:t>
      </w:r>
      <w:r>
        <w:rPr>
          <w:rFonts w:hint="eastAsia"/>
          <w:lang w:eastAsia="zh-CN"/>
        </w:rPr>
        <w:t>运维部</w:t>
      </w:r>
      <w:r>
        <w:t>完成资源部署、配置及测试，确保与现有系统兼容；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验收确认：</w:t>
      </w:r>
      <w:r>
        <w:rPr>
          <w:rFonts w:hint="eastAsia"/>
          <w:lang w:eastAsia="zh-CN"/>
        </w:rPr>
        <w:t>运维部</w:t>
      </w:r>
      <w:r>
        <w:t>验证扩容后容量满足需求，填写《容量扩容验收表》，经相关部门签字确认。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24"/>
      <w:bookmarkStart w:id="47" w:name="_Toc26247"/>
      <w:r>
        <w:t>考核与改进</w:t>
      </w:r>
      <w:bookmarkEnd w:id="46"/>
      <w:bookmarkEnd w:id="47"/>
    </w:p>
    <w:p>
      <w:pPr>
        <w:pStyle w:val="2"/>
        <w:bidi w:val="0"/>
      </w:pPr>
      <w:bookmarkStart w:id="48" w:name="heading_25"/>
      <w:bookmarkStart w:id="49" w:name="_Toc32515"/>
      <w:r>
        <w:t>考核指标</w:t>
      </w:r>
      <w:bookmarkEnd w:id="48"/>
      <w:bookmarkEnd w:id="4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公司将容量管理纳入</w:t>
      </w:r>
      <w:r>
        <w:rPr>
          <w:rFonts w:hint="eastAsia"/>
          <w:lang w:eastAsia="zh-CN"/>
        </w:rPr>
        <w:t>运维部</w:t>
      </w:r>
      <w:r>
        <w:t>及相关部门绩效考核，核心指标如下：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9"/>
        <w:gridCol w:w="2261"/>
        <w:gridCol w:w="2070"/>
        <w:gridCol w:w="207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96"/>
        </w:trPr>
        <w:tc>
          <w:tcPr>
            <w:tcW w:w="187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指标名称</w:t>
            </w:r>
          </w:p>
        </w:tc>
        <w:tc>
          <w:tcPr>
            <w:tcW w:w="22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目标值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统计周期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责任部门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18" w:lineRule="auto"/>
              <w:ind w:left="137" w:leftChars="0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22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78" w:line="237" w:lineRule="auto"/>
              <w:ind w:left="128" w:right="354" w:hanging="8" w:leftChars="0" w:rightChars="0" w:firstLineChars="0"/>
              <w:rPr>
                <w:rFonts w:ascii="宋体" w:eastAsia="宋体" w:hAnsi="宋体" w:cs="宋体" w:hint="eastAsia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37" w:lineRule="auto"/>
              <w:ind w:left="168" w:leftChars="0"/>
              <w:rPr>
                <w:rFonts w:ascii="宋体" w:eastAsia="宋体" w:hAnsi="宋体" w:cs="宋体" w:hint="eastAsia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3" w:line="217" w:lineRule="auto"/>
              <w:ind w:left="158" w:leftChars="0"/>
              <w:rPr>
                <w:rFonts w:ascii="宋体" w:eastAsia="宋体" w:hAnsi="宋体" w:cs="宋体" w:hint="eastAsia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</w:tbl>
    <w:p>
      <w:pPr>
        <w:pStyle w:val="2"/>
        <w:bidi w:val="0"/>
      </w:pPr>
      <w:bookmarkStart w:id="50" w:name="heading_26"/>
      <w:bookmarkStart w:id="51" w:name="_Toc13034"/>
      <w:r>
        <w:t>持续改进</w:t>
      </w:r>
      <w:bookmarkEnd w:id="50"/>
      <w:bookmarkEnd w:id="5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每季度组织容量管理评审会议，结合考核指标、客户反馈及ITSS标准更新，开展以下改进工作：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分析容量管理过程中存在的问题，如预警响应延迟、规划不准确等，制定针对性改进措施；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评估容量监测工具的适用性，必要时提出工具升级或更换建议；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收集行业内容量管理最佳实践，优化管理流程及技术措施；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根据业务发展及技术变革，更新容量基准及预警阈值。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改进措施需明确责任人和完成时限，实施后跟踪验证效果，确保容量管理水平持续提升。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2" w:name="heading_27"/>
      <w:bookmarkStart w:id="53" w:name="_Toc9875"/>
      <w:r>
        <w:t>相关文件与记录</w:t>
      </w:r>
      <w:bookmarkEnd w:id="52"/>
      <w:bookmarkEnd w:id="53"/>
    </w:p>
    <w:p>
      <w:pPr>
        <w:pStyle w:val="2"/>
        <w:bidi w:val="0"/>
      </w:pPr>
      <w:bookmarkStart w:id="54" w:name="heading_28"/>
      <w:bookmarkStart w:id="55" w:name="_Toc18219"/>
      <w:r>
        <w:t>相关文件</w:t>
      </w:r>
      <w:bookmarkEnd w:id="54"/>
      <w:bookmarkEnd w:id="5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《服务可用性和连续性管理制度》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《信息安全管理程序》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《服务级别协议管理规范》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《IT资产运维管理规范》</w:t>
      </w:r>
    </w:p>
    <w:p>
      <w:pPr>
        <w:pStyle w:val="2"/>
        <w:bidi w:val="0"/>
      </w:pPr>
      <w:bookmarkStart w:id="56" w:name="heading_29"/>
      <w:bookmarkStart w:id="57" w:name="_Toc13720"/>
      <w:r>
        <w:t>相关记录</w:t>
      </w:r>
      <w:bookmarkEnd w:id="56"/>
      <w:bookmarkEnd w:id="5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《容量管理基准表》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《容量预警记录表》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《月容量管理报告》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《年度容量规划报告》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《容量扩容申请表》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《容量扩容验收表》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8" w:name="heading_30"/>
      <w:bookmarkStart w:id="59" w:name="_Toc28900"/>
      <w:r>
        <w:t>附则</w:t>
      </w:r>
      <w:bookmarkEnd w:id="58"/>
      <w:bookmarkEnd w:id="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本制度由公司</w:t>
      </w:r>
      <w:r>
        <w:rPr>
          <w:rFonts w:hint="eastAsia"/>
          <w:lang w:eastAsia="zh-CN"/>
        </w:rPr>
        <w:t>运维部</w:t>
      </w:r>
      <w:r>
        <w:t>负责解释与修订，自发布之日起施行。</w:t>
      </w:r>
    </w:p>
    <w:sectPr>
      <w:headerReference w:type="default" r:id="rId4"/>
      <w:footerReference w:type="default" r:id="rId5"/>
      <w:pgSz w:w="11905" w:h="16840"/>
      <w:pgMar w:header="720" w:footer="72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2D9EAF"/>
    <w:multiLevelType w:val="singleLevel"/>
    <w:tmpl w:val="A22D9E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E05532E"/>
    <w:multiLevelType w:val="singleLevel"/>
    <w:tmpl w:val="DE05532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6480CF5"/>
    <w:multiLevelType w:val="singleLevel"/>
    <w:tmpl w:val="F6480CF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00D5AA52"/>
    <w:multiLevelType w:val="singleLevel"/>
    <w:tmpl w:val="00D5AA5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96BC4D6"/>
    <w:multiLevelType w:val="singleLevel"/>
    <w:tmpl w:val="496BC4D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437872B"/>
    <w:multiLevelType w:val="singleLevel"/>
    <w:tmpl w:val="5437872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D655597"/>
    <w:multiLevelType w:val="singleLevel"/>
    <w:tmpl w:val="5D65559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7"/>
  </w:num>
  <w:num w:numId="5">
    <w:abstractNumId w:val="4"/>
  </w:num>
  <w:num w:numId="6">
    <w:abstractNumId w:val="6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TrackMoves/>
  <w:defaultTabStop w:val="720"/>
  <w:characterSpacingControl w:val="doNotCompress"/>
  <w:compat>
    <w:useFELayout/>
    <w:splitPgBreakAndParaMark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 w:qFormat="1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 w:qFormat="1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 w:qFormat="1"/>
    <w:lsdException w:name="endnote text" w:semiHidden="0" w:uiPriority="0" w:unhideWhenUsed="0" w:qFormat="1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 w:qFormat="1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 w:qFormat="1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 w:qFormat="1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 w:qFormat="1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Salutation">
    <w:name w:val="Salutation"/>
    <w:basedOn w:val="Normal"/>
    <w:next w:val="Normal"/>
    <w:qFormat/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Date">
    <w:name w:val="Date"/>
    <w:basedOn w:val="Normal"/>
    <w:next w:val="Normal"/>
    <w:qFormat/>
    <w:pPr>
      <w:ind w:left="100" w:leftChars="2500"/>
    </w:pPr>
  </w:style>
  <w:style w:type="paragraph" w:styleId="EndnoteText">
    <w:name w:val="endnote text"/>
    <w:basedOn w:val="Normal"/>
    <w:qFormat/>
    <w:pPr>
      <w:snapToGrid w:val="0"/>
      <w:jc w:val="left"/>
    </w:pPr>
  </w:style>
  <w:style w:type="paragraph" w:styleId="BalloonText">
    <w:name w:val="Balloon Text"/>
    <w:basedOn w:val="Normal"/>
    <w:qFormat/>
    <w:rPr>
      <w:sz w:val="18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Signature">
    <w:name w:val="Signature"/>
    <w:basedOn w:val="Normal"/>
    <w:qFormat/>
    <w:pPr>
      <w:ind w:left="100" w:leftChars="2100"/>
    </w:p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FootnoteText">
    <w:name w:val="footnote text"/>
    <w:basedOn w:val="Normal"/>
    <w:qFormat/>
    <w:pPr>
      <w:snapToGrid w:val="0"/>
      <w:jc w:val="left"/>
    </w:pPr>
    <w:rPr>
      <w:sz w:val="18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CommentSubject">
    <w:name w:val="annotation subject"/>
    <w:basedOn w:val="CommentText"/>
    <w:next w:val="CommentText"/>
    <w:qFormat/>
    <w:rPr>
      <w:b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styleId="Emphasis">
    <w:name w:val="Emphasis"/>
    <w:basedOn w:val="DefaultParagraphFont"/>
    <w:qFormat/>
    <w:rPr>
      <w:i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CommentReference">
    <w:name w:val="annotation reference"/>
    <w:basedOn w:val="DefaultParagraphFont"/>
    <w:qFormat/>
    <w:rPr>
      <w:sz w:val="21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11</Pages>
  <Words>3372</Words>
  <Characters>3530</Characters>
  <Application>Microsoft Office Word</Application>
  <DocSecurity>0</DocSecurity>
  <Lines>0</Lines>
  <Paragraphs>0</Paragraphs>
  <ScaleCrop>false</ScaleCrop>
  <Company/>
  <LinksUpToDate>false</LinksUpToDate>
  <CharactersWithSpaces>3532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郝宇</cp:lastModifiedBy>
  <cp:revision>0</cp:revision>
  <dcterms:created xsi:type="dcterms:W3CDTF">2025-12-05T09:33:00Z</dcterms:created>
  <dcterms:modified xsi:type="dcterms:W3CDTF">2025-12-13T23:03:19Z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84C208AEEF3F4E439854875A53C358DD_12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