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bidi w:val="0"/>
        <w:rPr>
          <w:rFonts w:hint="default"/>
          <w:lang w:val="en-US" w:eastAsia="zh-CN"/>
        </w:rPr>
      </w:pPr>
      <w:bookmarkStart w:id="0" w:name="_Toc3176"/>
      <w:bookmarkStart w:id="1" w:name="heading_2"/>
      <w:r>
        <w:rPr>
          <w:rFonts w:hint="eastAsia"/>
          <w:lang w:val="en-US" w:eastAsia="zh-CN"/>
        </w:rPr>
        <w:t>天津市华夏电缆有限公司</w:t>
      </w:r>
      <w:bookmarkEnd w:id="0"/>
    </w:p>
    <w:p>
      <w:pPr>
        <w:pStyle w:val="a0"/>
        <w:keepNext w:val="0"/>
        <w:keepLines w:val="0"/>
        <w:pageBreakBefore w:val="0"/>
        <w:widowControl/>
        <w:kinsoku w:val="0"/>
        <w:wordWrap/>
        <w:overflowPunct/>
        <w:topLinePunct w:val="0"/>
        <w:autoSpaceDE w:val="0"/>
        <w:autoSpaceDN w:val="0"/>
        <w:bidi w:val="0"/>
        <w:adjustRightInd w:val="0"/>
        <w:snapToGrid w:val="0"/>
        <w:spacing w:before="0" w:after="0" w:afterLines="0"/>
        <w:textAlignment w:val="baseline"/>
        <w:rPr>
          <w:rFonts w:hint="default"/>
          <w:lang w:val="en-US" w:eastAsia="zh-CN"/>
        </w:rPr>
      </w:pPr>
      <w:bookmarkStart w:id="2" w:name="_Toc20662"/>
      <w:r>
        <w:rPr>
          <w:rFonts w:hint="eastAsia"/>
          <w:lang w:val="en-US" w:eastAsia="zh-CN"/>
        </w:rPr>
        <w:t>信息安全管理程序</w:t>
      </w:r>
      <w:bookmarkEnd w:id="2"/>
    </w:p>
    <w:p>
      <w:pPr>
        <w:pStyle w:val="a0"/>
        <w:bidi w:val="0"/>
        <w:rPr>
          <w:rFonts w:hint="eastAsia"/>
          <w:lang w:val="en-US" w:eastAsia="zh-CN"/>
        </w:rPr>
      </w:pPr>
      <w:bookmarkStart w:id="3" w:name="_Toc2043"/>
      <w:r>
        <w:rPr>
          <w:rFonts w:hint="eastAsia"/>
          <w:lang w:val="en-US" w:eastAsia="zh-CN"/>
        </w:rPr>
        <w:t>（HXDL-ITSS-0610）</w:t>
      </w:r>
      <w:bookmarkEnd w:id="3"/>
    </w:p>
    <w:p>
      <w:pPr>
        <w:pStyle w:val="a1"/>
        <w:bidi w:val="0"/>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pStyle w:val="a1"/>
              <w:widowControl w:val="0"/>
              <w:bidi w:val="0"/>
              <w:ind w:left="0" w:firstLine="0" w:leftChars="0" w:firstLineChars="0"/>
              <w:rPr>
                <w:rFonts w:hint="default"/>
                <w:lang w:val="en-US" w:eastAsia="zh-CN"/>
              </w:rPr>
            </w:pPr>
            <w:r>
              <w:rPr>
                <w:rFonts w:hint="eastAsia"/>
                <w:lang w:val="en-US" w:eastAsia="zh-CN"/>
              </w:rPr>
              <w:t>编制人</w:t>
            </w:r>
            <w:r>
              <w:rPr>
                <w:rFonts w:hint="default"/>
                <w:lang w:val="en-US" w:eastAsia="zh-CN"/>
              </w:rPr>
              <w:t>:</w:t>
            </w:r>
            <w:r>
              <w:rPr>
                <w:rFonts w:hint="eastAsia"/>
                <w:u w:val="single"/>
                <w:lang w:val="en-US" w:eastAsia="zh-CN"/>
              </w:rPr>
              <w:t>赵川华</w:t>
            </w:r>
          </w:p>
        </w:tc>
        <w:tc>
          <w:tcPr>
            <w:tcW w:w="4261" w:type="dxa"/>
          </w:tcPr>
          <w:p>
            <w:pPr>
              <w:pStyle w:val="a1"/>
              <w:widowControl w:val="0"/>
              <w:bidi w:val="0"/>
              <w:rPr>
                <w:rFonts w:hint="default"/>
                <w:lang w:val="en-US" w:eastAsia="zh-CN"/>
              </w:rPr>
            </w:pPr>
            <w:r>
              <w:rPr>
                <w:rFonts w:hint="eastAsia"/>
                <w:lang w:val="en-US" w:eastAsia="zh-CN"/>
              </w:rPr>
              <w:t>编制时间:</w:t>
            </w:r>
            <w:r>
              <w:rPr>
                <w:rFonts w:hint="eastAsia"/>
                <w:u w:val="singl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pStyle w:val="a1"/>
              <w:widowControl w:val="0"/>
              <w:bidi w:val="0"/>
              <w:ind w:left="0" w:firstLine="0" w:leftChars="0" w:firstLineChars="0"/>
              <w:rPr>
                <w:rFonts w:hint="eastAsia"/>
                <w:lang w:val="en-US" w:eastAsia="zh-CN"/>
              </w:rPr>
            </w:pPr>
            <w:r>
              <w:rPr>
                <w:rFonts w:hint="eastAsia"/>
                <w:lang w:val="en-US" w:eastAsia="zh-CN"/>
              </w:rPr>
              <w:t>审核人</w:t>
            </w:r>
            <w:r>
              <w:rPr>
                <w:rFonts w:hint="default"/>
                <w:lang w:val="en-US" w:eastAsia="zh-CN"/>
              </w:rPr>
              <w:t>:</w:t>
            </w:r>
            <w:r>
              <w:rPr>
                <w:rFonts w:hint="eastAsia"/>
                <w:u w:val="single"/>
                <w:lang w:val="en-US" w:eastAsia="zh-CN"/>
              </w:rPr>
              <w:t>张智宏</w:t>
            </w:r>
          </w:p>
        </w:tc>
        <w:tc>
          <w:tcPr>
            <w:tcW w:w="4261" w:type="dxa"/>
            <w:shd w:val="clear" w:color="auto" w:fill="auto"/>
          </w:tcPr>
          <w:p>
            <w:pPr>
              <w:pStyle w:val="a1"/>
              <w:widowControl w:val="0"/>
              <w:bidi w:val="0"/>
              <w:rPr>
                <w:rFonts w:hint="eastAsia"/>
                <w:lang w:val="en-US" w:eastAsia="zh-CN"/>
              </w:rPr>
            </w:pPr>
            <w:r>
              <w:rPr>
                <w:rFonts w:hint="eastAsia"/>
                <w:lang w:val="en-US" w:eastAsia="zh-CN"/>
              </w:rPr>
              <w:t>编制时间:</w:t>
            </w:r>
            <w:r>
              <w:rPr>
                <w:rFonts w:hint="eastAsia"/>
                <w:u w:val="singl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pStyle w:val="a1"/>
              <w:widowControl w:val="0"/>
              <w:bidi w:val="0"/>
              <w:ind w:left="0" w:firstLine="0" w:leftChars="0" w:firstLineChars="0"/>
              <w:rPr>
                <w:rFonts w:hint="eastAsia"/>
                <w:lang w:val="en-US" w:eastAsia="zh-CN"/>
              </w:rPr>
            </w:pPr>
            <w:r>
              <w:rPr>
                <w:rFonts w:hint="eastAsia"/>
                <w:lang w:val="en-US" w:eastAsia="zh-CN"/>
              </w:rPr>
              <w:t>批准人:</w:t>
            </w:r>
            <w:r>
              <w:rPr>
                <w:rFonts w:hint="eastAsia"/>
                <w:u w:val="single"/>
                <w:lang w:val="en-US" w:eastAsia="zh-CN"/>
              </w:rPr>
              <w:t>陈垒</w:t>
            </w:r>
          </w:p>
        </w:tc>
        <w:tc>
          <w:tcPr>
            <w:tcW w:w="4261" w:type="dxa"/>
          </w:tcPr>
          <w:p>
            <w:pPr>
              <w:pStyle w:val="a1"/>
              <w:widowControl w:val="0"/>
              <w:bidi w:val="0"/>
              <w:rPr>
                <w:rFonts w:hint="default"/>
                <w:lang w:val="en-US" w:eastAsia="zh-CN"/>
              </w:rPr>
            </w:pPr>
            <w:r>
              <w:rPr>
                <w:rFonts w:hint="eastAsia"/>
                <w:lang w:val="en-US" w:eastAsia="zh-CN"/>
              </w:rPr>
              <w:t>审批时间:</w:t>
            </w:r>
            <w:r>
              <w:rPr>
                <w:rFonts w:hint="eastAsia"/>
                <w:u w:val="single"/>
                <w:lang w:val="en-US" w:eastAsia="zh-CN"/>
              </w:rPr>
              <w:t>2025.07.07</w:t>
            </w:r>
          </w:p>
        </w:tc>
      </w:tr>
    </w:tbl>
    <w:p>
      <w:pPr>
        <w:pStyle w:val="a1"/>
        <w:bidi w:val="0"/>
        <w:rPr>
          <w:rFonts w:hint="default"/>
          <w:lang w:val="en-US" w:eastAsia="zh-CN"/>
        </w:rPr>
      </w:pPr>
      <w:r>
        <w:rPr>
          <w:rFonts w:hint="default"/>
          <w:lang w:val="en-US" w:eastAsia="zh-CN"/>
        </w:rPr>
        <w:br w:type="page"/>
      </w:r>
      <w:bookmarkStart w:id="4" w:name="_GoBack"/>
    </w:p>
    <w:sdt>
      <w:sdtPr>
        <w:rPr>
          <w:rFonts w:ascii="宋体" w:eastAsia="宋体" w:hAnsi="宋体" w:cs="Arial"/>
          <w:snapToGrid w:val="0"/>
          <w:color w:val="000000"/>
          <w:kern w:val="0"/>
          <w:sz w:val="21"/>
          <w:szCs w:val="21"/>
          <w:lang w:val="en-US" w:eastAsia="en-US" w:bidi="ar-SA"/>
        </w:rPr>
        <w:id w:val="147480859"/>
        <w:docPartObj>
          <w:docPartGallery w:val="Table of Contents"/>
          <w:docPartUnique/>
        </w:docPartObj>
      </w:sdtPr>
      <w:sdtEndPr>
        <w:rPr>
          <w:rFonts w:ascii="Arial" w:eastAsia="宋体" w:hAnsi="Arial" w:cs="Arial" w:hint="default"/>
          <w:snapToGrid w:val="0"/>
          <w:color w:val="000000"/>
          <w:kern w:val="0"/>
          <w:sz w:val="24"/>
          <w:szCs w:val="21"/>
          <w:lang w:val="en-US" w:eastAsia="zh-CN" w:bidi="ar-SA"/>
        </w:rPr>
      </w:sdtEndPr>
      <w:sdtContent>
        <w:p>
          <w:pPr>
            <w:spacing w:before="0" w:beforeLines="0" w:after="0" w:afterLines="0" w:line="240" w:lineRule="auto"/>
            <w:ind w:left="0" w:right="0" w:firstLine="0" w:leftChars="0" w:rightChars="0" w:firstLineChars="0"/>
            <w:jc w:val="center"/>
          </w:pPr>
          <w:bookmarkEnd w:id="4"/>
          <w:r>
            <w:rPr>
              <w:rFonts w:ascii="宋体" w:eastAsia="宋体" w:hAnsi="宋体"/>
              <w:sz w:val="21"/>
            </w:rPr>
            <w:t>目录</w:t>
          </w:r>
        </w:p>
        <w:p>
          <w:pPr>
            <w:pStyle w:val="TOC1"/>
            <w:tabs>
              <w:tab w:val="right" w:leader="dot" w:pos="8305"/>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_Toc3176 </w:instrText>
          </w:r>
          <w:r>
            <w:rPr>
              <w:rFonts w:hint="default"/>
              <w:lang w:val="en-US" w:eastAsia="zh-CN"/>
            </w:rPr>
            <w:fldChar w:fldCharType="separate"/>
          </w:r>
          <w:r>
            <w:rPr>
              <w:rFonts w:hint="eastAsia"/>
              <w:lang w:val="en-US" w:eastAsia="zh-CN"/>
            </w:rPr>
            <w:t>天津市华夏电缆有限公司</w:t>
          </w:r>
          <w:r>
            <w:tab/>
          </w:r>
          <w:r>
            <w:fldChar w:fldCharType="begin"/>
          </w:r>
          <w:r>
            <w:instrText xml:space="preserve"> PAGEREF _Toc3176 \h </w:instrText>
          </w:r>
          <w:r>
            <w:fldChar w:fldCharType="separate"/>
          </w:r>
          <w:r>
            <w:t>1</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_Toc20662 </w:instrText>
          </w:r>
          <w:r>
            <w:rPr>
              <w:rFonts w:hint="default"/>
              <w:lang w:val="en-US" w:eastAsia="zh-CN"/>
            </w:rPr>
            <w:fldChar w:fldCharType="separate"/>
          </w:r>
          <w:r>
            <w:rPr>
              <w:rFonts w:hint="eastAsia"/>
              <w:lang w:val="en-US" w:eastAsia="zh-CN"/>
            </w:rPr>
            <w:t>信息安全管理程序</w:t>
          </w:r>
          <w:r>
            <w:tab/>
          </w:r>
          <w:r>
            <w:fldChar w:fldCharType="begin"/>
          </w:r>
          <w:r>
            <w:instrText xml:space="preserve"> PAGEREF _Toc20662 \h </w:instrText>
          </w:r>
          <w:r>
            <w:fldChar w:fldCharType="separate"/>
          </w:r>
          <w:r>
            <w:t>1</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_Toc2043 </w:instrText>
          </w:r>
          <w:r>
            <w:rPr>
              <w:rFonts w:hint="default"/>
              <w:lang w:val="en-US" w:eastAsia="zh-CN"/>
            </w:rPr>
            <w:fldChar w:fldCharType="separate"/>
          </w:r>
          <w:r>
            <w:rPr>
              <w:rFonts w:hint="eastAsia"/>
              <w:lang w:val="en-US" w:eastAsia="zh-CN"/>
            </w:rPr>
            <w:t>（HXDL-ITSS-0610）</w:t>
          </w:r>
          <w:r>
            <w:tab/>
          </w:r>
          <w:r>
            <w:fldChar w:fldCharType="begin"/>
          </w:r>
          <w:r>
            <w:instrText xml:space="preserve"> PAGEREF _Toc2043 \h </w:instrText>
          </w:r>
          <w:r>
            <w:fldChar w:fldCharType="separate"/>
          </w:r>
          <w:r>
            <w:t>1</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_Toc19537 </w:instrText>
          </w:r>
          <w:r>
            <w:rPr>
              <w:rFonts w:hint="default"/>
              <w:lang w:val="en-US" w:eastAsia="zh-CN"/>
            </w:rPr>
            <w:fldChar w:fldCharType="separate"/>
          </w:r>
          <w:r>
            <w:rPr>
              <w:rFonts w:hint="default"/>
            </w:rPr>
            <w:t xml:space="preserve">1. </w:t>
          </w:r>
          <w:r>
            <w:t>目的</w:t>
          </w:r>
          <w:r>
            <w:tab/>
          </w:r>
          <w:r>
            <w:fldChar w:fldCharType="begin"/>
          </w:r>
          <w:r>
            <w:instrText xml:space="preserve"> PAGEREF _Toc19537 \h </w:instrText>
          </w:r>
          <w:r>
            <w:fldChar w:fldCharType="separate"/>
          </w:r>
          <w:r>
            <w:t>4</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_Toc7373 </w:instrText>
          </w:r>
          <w:r>
            <w:rPr>
              <w:rFonts w:hint="default"/>
              <w:lang w:val="en-US" w:eastAsia="zh-CN"/>
            </w:rPr>
            <w:fldChar w:fldCharType="separate"/>
          </w:r>
          <w:r>
            <w:rPr>
              <w:rFonts w:hint="default"/>
            </w:rPr>
            <w:t xml:space="preserve">2. </w:t>
          </w:r>
          <w:r>
            <w:t>过程定义</w:t>
          </w:r>
          <w:r>
            <w:tab/>
          </w:r>
          <w:r>
            <w:fldChar w:fldCharType="begin"/>
          </w:r>
          <w:r>
            <w:instrText xml:space="preserve"> PAGEREF _Toc7373 \h </w:instrText>
          </w:r>
          <w:r>
            <w:fldChar w:fldCharType="separate"/>
          </w:r>
          <w:r>
            <w:t>4</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_Toc32529 </w:instrText>
          </w:r>
          <w:r>
            <w:rPr>
              <w:rFonts w:hint="default"/>
              <w:lang w:val="en-US" w:eastAsia="zh-CN"/>
            </w:rPr>
            <w:fldChar w:fldCharType="separate"/>
          </w:r>
          <w:r>
            <w:rPr>
              <w:rFonts w:hint="default"/>
            </w:rPr>
            <w:t xml:space="preserve">2.1. </w:t>
          </w:r>
          <w:r>
            <w:t>范围</w:t>
          </w:r>
          <w:r>
            <w:tab/>
          </w:r>
          <w:r>
            <w:fldChar w:fldCharType="begin"/>
          </w:r>
          <w:r>
            <w:instrText xml:space="preserve"> PAGEREF _Toc32529 \h </w:instrText>
          </w:r>
          <w:r>
            <w:fldChar w:fldCharType="separate"/>
          </w:r>
          <w:r>
            <w:t>4</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_Toc6284 </w:instrText>
          </w:r>
          <w:r>
            <w:rPr>
              <w:rFonts w:hint="default"/>
              <w:lang w:val="en-US" w:eastAsia="zh-CN"/>
            </w:rPr>
            <w:fldChar w:fldCharType="separate"/>
          </w:r>
          <w:r>
            <w:rPr>
              <w:rFonts w:hint="default"/>
            </w:rPr>
            <w:t xml:space="preserve">2.2. </w:t>
          </w:r>
          <w:r>
            <w:t>过程负责人</w:t>
          </w:r>
          <w:r>
            <w:tab/>
          </w:r>
          <w:r>
            <w:fldChar w:fldCharType="begin"/>
          </w:r>
          <w:r>
            <w:instrText xml:space="preserve"> PAGEREF _Toc6284 \h </w:instrText>
          </w:r>
          <w:r>
            <w:fldChar w:fldCharType="separate"/>
          </w:r>
          <w:r>
            <w:t>4</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_Toc6388 </w:instrText>
          </w:r>
          <w:r>
            <w:rPr>
              <w:rFonts w:hint="default"/>
              <w:lang w:val="en-US" w:eastAsia="zh-CN"/>
            </w:rPr>
            <w:fldChar w:fldCharType="separate"/>
          </w:r>
          <w:r>
            <w:rPr>
              <w:rFonts w:hint="default"/>
            </w:rPr>
            <w:t xml:space="preserve">2.3. </w:t>
          </w:r>
          <w:r>
            <w:t>主要输入</w:t>
          </w:r>
          <w:r>
            <w:tab/>
          </w:r>
          <w:r>
            <w:fldChar w:fldCharType="begin"/>
          </w:r>
          <w:r>
            <w:instrText xml:space="preserve"> PAGEREF _Toc6388 \h </w:instrText>
          </w:r>
          <w:r>
            <w:fldChar w:fldCharType="separate"/>
          </w:r>
          <w:r>
            <w:t>4</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_Toc18465 </w:instrText>
          </w:r>
          <w:r>
            <w:rPr>
              <w:rFonts w:hint="default"/>
              <w:lang w:val="en-US" w:eastAsia="zh-CN"/>
            </w:rPr>
            <w:fldChar w:fldCharType="separate"/>
          </w:r>
          <w:r>
            <w:rPr>
              <w:rFonts w:hint="default"/>
            </w:rPr>
            <w:t xml:space="preserve">2.4. </w:t>
          </w:r>
          <w:r>
            <w:t>主要输出</w:t>
          </w:r>
          <w:r>
            <w:tab/>
          </w:r>
          <w:r>
            <w:fldChar w:fldCharType="begin"/>
          </w:r>
          <w:r>
            <w:instrText xml:space="preserve"> PAGEREF _Toc18465 \h </w:instrText>
          </w:r>
          <w:r>
            <w:fldChar w:fldCharType="separate"/>
          </w:r>
          <w:r>
            <w:t>5</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_Toc9370 </w:instrText>
          </w:r>
          <w:r>
            <w:rPr>
              <w:rFonts w:hint="default"/>
              <w:lang w:val="en-US" w:eastAsia="zh-CN"/>
            </w:rPr>
            <w:fldChar w:fldCharType="separate"/>
          </w:r>
          <w:r>
            <w:rPr>
              <w:rFonts w:hint="default"/>
            </w:rPr>
            <w:t xml:space="preserve">2.5. </w:t>
          </w:r>
          <w:r>
            <w:t>职责权限</w:t>
          </w:r>
          <w:r>
            <w:tab/>
          </w:r>
          <w:r>
            <w:fldChar w:fldCharType="begin"/>
          </w:r>
          <w:r>
            <w:instrText xml:space="preserve"> PAGEREF _Toc9370 \h </w:instrText>
          </w:r>
          <w:r>
            <w:fldChar w:fldCharType="separate"/>
          </w:r>
          <w:r>
            <w:t>5</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_Toc8094 </w:instrText>
          </w:r>
          <w:r>
            <w:rPr>
              <w:rFonts w:hint="default"/>
              <w:lang w:val="en-US" w:eastAsia="zh-CN"/>
            </w:rPr>
            <w:fldChar w:fldCharType="separate"/>
          </w:r>
          <w:r>
            <w:rPr>
              <w:rFonts w:hint="default"/>
            </w:rPr>
            <w:t xml:space="preserve">2.5.1. </w:t>
          </w:r>
          <w:r>
            <w:t>安全管理负责人</w:t>
          </w:r>
          <w:r>
            <w:tab/>
          </w:r>
          <w:r>
            <w:fldChar w:fldCharType="begin"/>
          </w:r>
          <w:r>
            <w:instrText xml:space="preserve"> PAGEREF _Toc8094 \h </w:instrText>
          </w:r>
          <w:r>
            <w:fldChar w:fldCharType="separate"/>
          </w:r>
          <w:r>
            <w:t>5</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_Toc20986 </w:instrText>
          </w:r>
          <w:r>
            <w:rPr>
              <w:rFonts w:hint="default"/>
              <w:lang w:val="en-US" w:eastAsia="zh-CN"/>
            </w:rPr>
            <w:fldChar w:fldCharType="separate"/>
          </w:r>
          <w:r>
            <w:rPr>
              <w:rFonts w:hint="default"/>
            </w:rPr>
            <w:t xml:space="preserve">2.5.2. </w:t>
          </w:r>
          <w:r>
            <w:t>客户服务负责人</w:t>
          </w:r>
          <w:r>
            <w:tab/>
          </w:r>
          <w:r>
            <w:fldChar w:fldCharType="begin"/>
          </w:r>
          <w:r>
            <w:instrText xml:space="preserve"> PAGEREF _Toc20986 \h </w:instrText>
          </w:r>
          <w:r>
            <w:fldChar w:fldCharType="separate"/>
          </w:r>
          <w:r>
            <w:t>5</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_Toc4766 </w:instrText>
          </w:r>
          <w:r>
            <w:rPr>
              <w:rFonts w:hint="default"/>
              <w:lang w:val="en-US" w:eastAsia="zh-CN"/>
            </w:rPr>
            <w:fldChar w:fldCharType="separate"/>
          </w:r>
          <w:r>
            <w:rPr>
              <w:rFonts w:hint="default"/>
            </w:rPr>
            <w:t xml:space="preserve">2.6. </w:t>
          </w:r>
          <w:r>
            <w:t>过程重要控制点</w:t>
          </w:r>
          <w:r>
            <w:tab/>
          </w:r>
          <w:r>
            <w:fldChar w:fldCharType="begin"/>
          </w:r>
          <w:r>
            <w:instrText xml:space="preserve"> PAGEREF _Toc4766 \h </w:instrText>
          </w:r>
          <w:r>
            <w:fldChar w:fldCharType="separate"/>
          </w:r>
          <w:r>
            <w:t>5</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_Toc17335 </w:instrText>
          </w:r>
          <w:r>
            <w:rPr>
              <w:rFonts w:hint="default"/>
              <w:lang w:val="en-US" w:eastAsia="zh-CN"/>
            </w:rPr>
            <w:fldChar w:fldCharType="separate"/>
          </w:r>
          <w:r>
            <w:rPr>
              <w:rFonts w:hint="default"/>
            </w:rPr>
            <w:t xml:space="preserve">2.7. </w:t>
          </w:r>
          <w:r>
            <w:t>过程测量指标</w:t>
          </w:r>
          <w:r>
            <w:tab/>
          </w:r>
          <w:r>
            <w:fldChar w:fldCharType="begin"/>
          </w:r>
          <w:r>
            <w:instrText xml:space="preserve"> PAGEREF _Toc17335 \h </w:instrText>
          </w:r>
          <w:r>
            <w:fldChar w:fldCharType="separate"/>
          </w:r>
          <w:r>
            <w:t>6</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_Toc10445 </w:instrText>
          </w:r>
          <w:r>
            <w:rPr>
              <w:rFonts w:hint="default"/>
              <w:lang w:val="en-US" w:eastAsia="zh-CN"/>
            </w:rPr>
            <w:fldChar w:fldCharType="separate"/>
          </w:r>
          <w:r>
            <w:rPr>
              <w:rFonts w:hint="default"/>
            </w:rPr>
            <w:t xml:space="preserve">3. </w:t>
          </w:r>
          <w:r>
            <w:t>术语</w:t>
          </w:r>
          <w:r>
            <w:tab/>
          </w:r>
          <w:r>
            <w:fldChar w:fldCharType="begin"/>
          </w:r>
          <w:r>
            <w:instrText xml:space="preserve"> PAGEREF _Toc10445 \h </w:instrText>
          </w:r>
          <w:r>
            <w:fldChar w:fldCharType="separate"/>
          </w:r>
          <w:r>
            <w:t>6</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_Toc23581 </w:instrText>
          </w:r>
          <w:r>
            <w:rPr>
              <w:rFonts w:hint="default"/>
              <w:lang w:val="en-US" w:eastAsia="zh-CN"/>
            </w:rPr>
            <w:fldChar w:fldCharType="separate"/>
          </w:r>
          <w:r>
            <w:rPr>
              <w:rFonts w:hint="default"/>
            </w:rPr>
            <w:t xml:space="preserve">4. </w:t>
          </w:r>
          <w:r>
            <w:t>信息安全方针</w:t>
          </w:r>
          <w:r>
            <w:tab/>
          </w:r>
          <w:r>
            <w:fldChar w:fldCharType="begin"/>
          </w:r>
          <w:r>
            <w:instrText xml:space="preserve"> PAGEREF _Toc23581 \h </w:instrText>
          </w:r>
          <w:r>
            <w:fldChar w:fldCharType="separate"/>
          </w:r>
          <w:r>
            <w:t>6</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_Toc30565 </w:instrText>
          </w:r>
          <w:r>
            <w:rPr>
              <w:rFonts w:hint="default"/>
              <w:lang w:val="en-US" w:eastAsia="zh-CN"/>
            </w:rPr>
            <w:fldChar w:fldCharType="separate"/>
          </w:r>
          <w:r>
            <w:rPr>
              <w:rFonts w:hint="default"/>
            </w:rPr>
            <w:t xml:space="preserve">5. </w:t>
          </w:r>
          <w:r>
            <w:t>信息安全策略</w:t>
          </w:r>
          <w:r>
            <w:tab/>
          </w:r>
          <w:r>
            <w:fldChar w:fldCharType="begin"/>
          </w:r>
          <w:r>
            <w:instrText xml:space="preserve"> PAGEREF _Toc30565 \h </w:instrText>
          </w:r>
          <w:r>
            <w:fldChar w:fldCharType="separate"/>
          </w:r>
          <w:r>
            <w:t>6</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_Toc12050 </w:instrText>
          </w:r>
          <w:r>
            <w:rPr>
              <w:rFonts w:hint="default"/>
              <w:lang w:val="en-US" w:eastAsia="zh-CN"/>
            </w:rPr>
            <w:fldChar w:fldCharType="separate"/>
          </w:r>
          <w:r>
            <w:rPr>
              <w:rFonts w:hint="default"/>
            </w:rPr>
            <w:t xml:space="preserve">5.1. </w:t>
          </w:r>
          <w:r>
            <w:t>信息安全策略定义</w:t>
          </w:r>
          <w:r>
            <w:tab/>
          </w:r>
          <w:r>
            <w:fldChar w:fldCharType="begin"/>
          </w:r>
          <w:r>
            <w:instrText xml:space="preserve"> PAGEREF _Toc12050 \h </w:instrText>
          </w:r>
          <w:r>
            <w:fldChar w:fldCharType="separate"/>
          </w:r>
          <w:r>
            <w:t>6</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_Toc12265 </w:instrText>
          </w:r>
          <w:r>
            <w:rPr>
              <w:rFonts w:hint="default"/>
              <w:lang w:val="en-US" w:eastAsia="zh-CN"/>
            </w:rPr>
            <w:fldChar w:fldCharType="separate"/>
          </w:r>
          <w:r>
            <w:rPr>
              <w:rFonts w:hint="default"/>
            </w:rPr>
            <w:t xml:space="preserve">5.2. </w:t>
          </w:r>
          <w:r>
            <w:t>信息安全策略内容</w:t>
          </w:r>
          <w:r>
            <w:tab/>
          </w:r>
          <w:r>
            <w:fldChar w:fldCharType="begin"/>
          </w:r>
          <w:r>
            <w:instrText xml:space="preserve"> PAGEREF _Toc12265 \h </w:instrText>
          </w:r>
          <w:r>
            <w:fldChar w:fldCharType="separate"/>
          </w:r>
          <w:r>
            <w:t>7</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_Toc10365 </w:instrText>
          </w:r>
          <w:r>
            <w:rPr>
              <w:rFonts w:hint="default"/>
              <w:lang w:val="en-US" w:eastAsia="zh-CN"/>
            </w:rPr>
            <w:fldChar w:fldCharType="separate"/>
          </w:r>
          <w:r>
            <w:rPr>
              <w:rFonts w:hint="default"/>
            </w:rPr>
            <w:t xml:space="preserve">5.2.1. </w:t>
          </w:r>
          <w:r>
            <w:t>物理安全策略</w:t>
          </w:r>
          <w:r>
            <w:tab/>
          </w:r>
          <w:r>
            <w:fldChar w:fldCharType="begin"/>
          </w:r>
          <w:r>
            <w:instrText xml:space="preserve"> PAGEREF _Toc10365 \h </w:instrText>
          </w:r>
          <w:r>
            <w:fldChar w:fldCharType="separate"/>
          </w:r>
          <w:r>
            <w:t>7</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_Toc13670 </w:instrText>
          </w:r>
          <w:r>
            <w:rPr>
              <w:rFonts w:hint="default"/>
              <w:lang w:val="en-US" w:eastAsia="zh-CN"/>
            </w:rPr>
            <w:fldChar w:fldCharType="separate"/>
          </w:r>
          <w:r>
            <w:rPr>
              <w:rFonts w:hint="default"/>
            </w:rPr>
            <w:t xml:space="preserve">5.2.2. </w:t>
          </w:r>
          <w:r>
            <w:t>网络安全策略</w:t>
          </w:r>
          <w:r>
            <w:tab/>
          </w:r>
          <w:r>
            <w:fldChar w:fldCharType="begin"/>
          </w:r>
          <w:r>
            <w:instrText xml:space="preserve"> PAGEREF _Toc13670 \h </w:instrText>
          </w:r>
          <w:r>
            <w:fldChar w:fldCharType="separate"/>
          </w:r>
          <w:r>
            <w:t>7</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_Toc13039 </w:instrText>
          </w:r>
          <w:r>
            <w:rPr>
              <w:rFonts w:hint="default"/>
              <w:lang w:val="en-US" w:eastAsia="zh-CN"/>
            </w:rPr>
            <w:fldChar w:fldCharType="separate"/>
          </w:r>
          <w:r>
            <w:rPr>
              <w:rFonts w:hint="default"/>
            </w:rPr>
            <w:t xml:space="preserve">5.2.3. </w:t>
          </w:r>
          <w:r>
            <w:t>数据安全策略</w:t>
          </w:r>
          <w:r>
            <w:tab/>
          </w:r>
          <w:r>
            <w:fldChar w:fldCharType="begin"/>
          </w:r>
          <w:r>
            <w:instrText xml:space="preserve"> PAGEREF _Toc13039 \h </w:instrText>
          </w:r>
          <w:r>
            <w:fldChar w:fldCharType="separate"/>
          </w:r>
          <w:r>
            <w:t>7</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_Toc29946 </w:instrText>
          </w:r>
          <w:r>
            <w:rPr>
              <w:rFonts w:hint="default"/>
              <w:lang w:val="en-US" w:eastAsia="zh-CN"/>
            </w:rPr>
            <w:fldChar w:fldCharType="separate"/>
          </w:r>
          <w:r>
            <w:rPr>
              <w:rFonts w:hint="default"/>
            </w:rPr>
            <w:t xml:space="preserve">5.2.4. </w:t>
          </w:r>
          <w:r>
            <w:t>软件安全策略</w:t>
          </w:r>
          <w:r>
            <w:tab/>
          </w:r>
          <w:r>
            <w:fldChar w:fldCharType="begin"/>
          </w:r>
          <w:r>
            <w:instrText xml:space="preserve"> PAGEREF _Toc29946 \h </w:instrText>
          </w:r>
          <w:r>
            <w:fldChar w:fldCharType="separate"/>
          </w:r>
          <w:r>
            <w:t>8</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_Toc18581 </w:instrText>
          </w:r>
          <w:r>
            <w:rPr>
              <w:rFonts w:hint="default"/>
              <w:lang w:val="en-US" w:eastAsia="zh-CN"/>
            </w:rPr>
            <w:fldChar w:fldCharType="separate"/>
          </w:r>
          <w:r>
            <w:rPr>
              <w:rFonts w:hint="default"/>
            </w:rPr>
            <w:t xml:space="preserve">5.2.5. </w:t>
          </w:r>
          <w:r>
            <w:t>系统管理策略</w:t>
          </w:r>
          <w:r>
            <w:tab/>
          </w:r>
          <w:r>
            <w:fldChar w:fldCharType="begin"/>
          </w:r>
          <w:r>
            <w:instrText xml:space="preserve"> PAGEREF _Toc18581 \h </w:instrText>
          </w:r>
          <w:r>
            <w:fldChar w:fldCharType="separate"/>
          </w:r>
          <w:r>
            <w:t>8</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_Toc25471 </w:instrText>
          </w:r>
          <w:r>
            <w:rPr>
              <w:rFonts w:hint="default"/>
              <w:lang w:val="en-US" w:eastAsia="zh-CN"/>
            </w:rPr>
            <w:fldChar w:fldCharType="separate"/>
          </w:r>
          <w:r>
            <w:rPr>
              <w:rFonts w:hint="default"/>
            </w:rPr>
            <w:t xml:space="preserve">5.2.6. </w:t>
          </w:r>
          <w:r>
            <w:t>灾难恢复策略</w:t>
          </w:r>
          <w:r>
            <w:tab/>
          </w:r>
          <w:r>
            <w:fldChar w:fldCharType="begin"/>
          </w:r>
          <w:r>
            <w:instrText xml:space="preserve"> PAGEREF _Toc25471 \h </w:instrText>
          </w:r>
          <w:r>
            <w:fldChar w:fldCharType="separate"/>
          </w:r>
          <w:r>
            <w:t>8</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_Toc26813 </w:instrText>
          </w:r>
          <w:r>
            <w:rPr>
              <w:rFonts w:hint="default"/>
              <w:lang w:val="en-US" w:eastAsia="zh-CN"/>
            </w:rPr>
            <w:fldChar w:fldCharType="separate"/>
          </w:r>
          <w:r>
            <w:rPr>
              <w:rFonts w:hint="default"/>
            </w:rPr>
            <w:t xml:space="preserve">6. </w:t>
          </w:r>
          <w:r>
            <w:t>信息安全管理过程描述</w:t>
          </w:r>
          <w:r>
            <w:tab/>
          </w:r>
          <w:r>
            <w:fldChar w:fldCharType="begin"/>
          </w:r>
          <w:r>
            <w:instrText xml:space="preserve"> PAGEREF _Toc26813 \h </w:instrText>
          </w:r>
          <w:r>
            <w:fldChar w:fldCharType="separate"/>
          </w:r>
          <w:r>
            <w:t>9</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_Toc20865 </w:instrText>
          </w:r>
          <w:r>
            <w:rPr>
              <w:rFonts w:hint="default"/>
              <w:lang w:val="en-US" w:eastAsia="zh-CN"/>
            </w:rPr>
            <w:fldChar w:fldCharType="separate"/>
          </w:r>
          <w:r>
            <w:rPr>
              <w:rFonts w:hint="default"/>
            </w:rPr>
            <w:t xml:space="preserve">6.1. </w:t>
          </w:r>
          <w:r>
            <w:t>风险评估计划和过程</w:t>
          </w:r>
          <w:r>
            <w:tab/>
          </w:r>
          <w:r>
            <w:fldChar w:fldCharType="begin"/>
          </w:r>
          <w:r>
            <w:instrText xml:space="preserve"> PAGEREF _Toc20865 \h </w:instrText>
          </w:r>
          <w:r>
            <w:fldChar w:fldCharType="separate"/>
          </w:r>
          <w:r>
            <w:t>9</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_Toc32366 </w:instrText>
          </w:r>
          <w:r>
            <w:rPr>
              <w:rFonts w:hint="default"/>
              <w:lang w:val="en-US" w:eastAsia="zh-CN"/>
            </w:rPr>
            <w:fldChar w:fldCharType="separate"/>
          </w:r>
          <w:r>
            <w:rPr>
              <w:rFonts w:hint="default"/>
            </w:rPr>
            <w:t xml:space="preserve">6.1.1. </w:t>
          </w:r>
          <w:r>
            <w:t>评估计划</w:t>
          </w:r>
          <w:r>
            <w:tab/>
          </w:r>
          <w:r>
            <w:fldChar w:fldCharType="begin"/>
          </w:r>
          <w:r>
            <w:instrText xml:space="preserve"> PAGEREF _Toc32366 \h </w:instrText>
          </w:r>
          <w:r>
            <w:fldChar w:fldCharType="separate"/>
          </w:r>
          <w:r>
            <w:t>9</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_Toc4072 </w:instrText>
          </w:r>
          <w:r>
            <w:rPr>
              <w:rFonts w:hint="default"/>
              <w:lang w:val="en-US" w:eastAsia="zh-CN"/>
            </w:rPr>
            <w:fldChar w:fldCharType="separate"/>
          </w:r>
          <w:r>
            <w:rPr>
              <w:rFonts w:hint="default"/>
            </w:rPr>
            <w:t xml:space="preserve">6.1.2. </w:t>
          </w:r>
          <w:r>
            <w:t>评估过程</w:t>
          </w:r>
          <w:r>
            <w:tab/>
          </w:r>
          <w:r>
            <w:fldChar w:fldCharType="begin"/>
          </w:r>
          <w:r>
            <w:instrText xml:space="preserve"> PAGEREF _Toc4072 \h </w:instrText>
          </w:r>
          <w:r>
            <w:fldChar w:fldCharType="separate"/>
          </w:r>
          <w:r>
            <w:t>9</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_Toc26858 </w:instrText>
          </w:r>
          <w:r>
            <w:rPr>
              <w:rFonts w:hint="default"/>
              <w:lang w:val="en-US" w:eastAsia="zh-CN"/>
            </w:rPr>
            <w:fldChar w:fldCharType="separate"/>
          </w:r>
          <w:r>
            <w:rPr>
              <w:rFonts w:hint="default"/>
            </w:rPr>
            <w:t xml:space="preserve">6.2. </w:t>
          </w:r>
          <w:r>
            <w:t>评估方法和工具</w:t>
          </w:r>
          <w:r>
            <w:tab/>
          </w:r>
          <w:r>
            <w:fldChar w:fldCharType="begin"/>
          </w:r>
          <w:r>
            <w:instrText xml:space="preserve"> PAGEREF _Toc26858 \h </w:instrText>
          </w:r>
          <w:r>
            <w:fldChar w:fldCharType="separate"/>
          </w:r>
          <w:r>
            <w:t>10</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_Toc29441 </w:instrText>
          </w:r>
          <w:r>
            <w:rPr>
              <w:rFonts w:hint="default"/>
              <w:lang w:val="en-US" w:eastAsia="zh-CN"/>
            </w:rPr>
            <w:fldChar w:fldCharType="separate"/>
          </w:r>
          <w:r>
            <w:rPr>
              <w:rFonts w:hint="default"/>
            </w:rPr>
            <w:t xml:space="preserve">6.3. </w:t>
          </w:r>
          <w:r>
            <w:t>评估内容</w:t>
          </w:r>
          <w:r>
            <w:tab/>
          </w:r>
          <w:r>
            <w:fldChar w:fldCharType="begin"/>
          </w:r>
          <w:r>
            <w:instrText xml:space="preserve"> PAGEREF _Toc29441 \h </w:instrText>
          </w:r>
          <w:r>
            <w:fldChar w:fldCharType="separate"/>
          </w:r>
          <w:r>
            <w:t>11</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_Toc7442 </w:instrText>
          </w:r>
          <w:r>
            <w:rPr>
              <w:rFonts w:hint="default"/>
              <w:lang w:val="en-US" w:eastAsia="zh-CN"/>
            </w:rPr>
            <w:fldChar w:fldCharType="separate"/>
          </w:r>
          <w:r>
            <w:rPr>
              <w:rFonts w:hint="default"/>
            </w:rPr>
            <w:t xml:space="preserve">6.4. </w:t>
          </w:r>
          <w:r>
            <w:t>资产的评估和赋值</w:t>
          </w:r>
          <w:r>
            <w:tab/>
          </w:r>
          <w:r>
            <w:fldChar w:fldCharType="begin"/>
          </w:r>
          <w:r>
            <w:instrText xml:space="preserve"> PAGEREF _Toc7442 \h </w:instrText>
          </w:r>
          <w:r>
            <w:fldChar w:fldCharType="separate"/>
          </w:r>
          <w:r>
            <w:t>11</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_Toc28366 </w:instrText>
          </w:r>
          <w:r>
            <w:rPr>
              <w:rFonts w:hint="default"/>
              <w:lang w:val="en-US" w:eastAsia="zh-CN"/>
            </w:rPr>
            <w:fldChar w:fldCharType="separate"/>
          </w:r>
          <w:r>
            <w:rPr>
              <w:rFonts w:hint="default"/>
            </w:rPr>
            <w:t xml:space="preserve">6.5. </w:t>
          </w:r>
          <w:r>
            <w:t>威胁评估</w:t>
          </w:r>
          <w:r>
            <w:tab/>
          </w:r>
          <w:r>
            <w:fldChar w:fldCharType="begin"/>
          </w:r>
          <w:r>
            <w:instrText xml:space="preserve"> PAGEREF _Toc28366 \h </w:instrText>
          </w:r>
          <w:r>
            <w:fldChar w:fldCharType="separate"/>
          </w:r>
          <w:r>
            <w:t>14</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_Toc20220 </w:instrText>
          </w:r>
          <w:r>
            <w:rPr>
              <w:rFonts w:hint="default"/>
              <w:lang w:val="en-US" w:eastAsia="zh-CN"/>
            </w:rPr>
            <w:fldChar w:fldCharType="separate"/>
          </w:r>
          <w:r>
            <w:rPr>
              <w:rFonts w:hint="default"/>
            </w:rPr>
            <w:t xml:space="preserve">6.5.1. </w:t>
          </w:r>
          <w:r>
            <w:t>威胁概述</w:t>
          </w:r>
          <w:r>
            <w:tab/>
          </w:r>
          <w:r>
            <w:fldChar w:fldCharType="begin"/>
          </w:r>
          <w:r>
            <w:instrText xml:space="preserve"> PAGEREF _Toc20220 \h </w:instrText>
          </w:r>
          <w:r>
            <w:fldChar w:fldCharType="separate"/>
          </w:r>
          <w:r>
            <w:t>14</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_Toc7870 </w:instrText>
          </w:r>
          <w:r>
            <w:rPr>
              <w:rFonts w:hint="default"/>
              <w:lang w:val="en-US" w:eastAsia="zh-CN"/>
            </w:rPr>
            <w:fldChar w:fldCharType="separate"/>
          </w:r>
          <w:r>
            <w:rPr>
              <w:rFonts w:hint="default"/>
            </w:rPr>
            <w:t xml:space="preserve">6.5.2. </w:t>
          </w:r>
          <w:r>
            <w:t>威胁识别</w:t>
          </w:r>
          <w:r>
            <w:tab/>
          </w:r>
          <w:r>
            <w:fldChar w:fldCharType="begin"/>
          </w:r>
          <w:r>
            <w:instrText xml:space="preserve"> PAGEREF _Toc7870 \h </w:instrText>
          </w:r>
          <w:r>
            <w:fldChar w:fldCharType="separate"/>
          </w:r>
          <w:r>
            <w:t>14</w:t>
          </w:r>
          <w:r>
            <w:fldChar w:fldCharType="end"/>
          </w:r>
          <w:r>
            <w:rPr>
              <w:rFonts w:hint="default"/>
              <w:lang w:val="en-US" w:eastAsia="zh-CN"/>
            </w:rPr>
            <w:fldChar w:fldCharType="end"/>
          </w:r>
        </w:p>
        <w:p>
          <w:pPr>
            <w:pStyle w:val="TOC3"/>
            <w:tabs>
              <w:tab w:val="right" w:leader="dot" w:pos="8305"/>
            </w:tabs>
          </w:pPr>
          <w:r>
            <w:rPr>
              <w:rFonts w:hint="default"/>
              <w:lang w:val="en-US" w:eastAsia="zh-CN"/>
            </w:rPr>
            <w:fldChar w:fldCharType="begin"/>
          </w:r>
          <w:r>
            <w:rPr>
              <w:rFonts w:hint="default"/>
              <w:lang w:val="en-US" w:eastAsia="zh-CN"/>
            </w:rPr>
            <w:instrText xml:space="preserve"> HYPERLINK \l _Toc19780 </w:instrText>
          </w:r>
          <w:r>
            <w:rPr>
              <w:rFonts w:hint="default"/>
              <w:lang w:val="en-US" w:eastAsia="zh-CN"/>
            </w:rPr>
            <w:fldChar w:fldCharType="separate"/>
          </w:r>
          <w:r>
            <w:rPr>
              <w:rFonts w:hint="default"/>
            </w:rPr>
            <w:t xml:space="preserve">6.5.3. </w:t>
          </w:r>
          <w:r>
            <w:t>威胁分析</w:t>
          </w:r>
          <w:r>
            <w:tab/>
          </w:r>
          <w:r>
            <w:fldChar w:fldCharType="begin"/>
          </w:r>
          <w:r>
            <w:instrText xml:space="preserve"> PAGEREF _Toc19780 \h </w:instrText>
          </w:r>
          <w:r>
            <w:fldChar w:fldCharType="separate"/>
          </w:r>
          <w:r>
            <w:t>14</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_Toc23614 </w:instrText>
          </w:r>
          <w:r>
            <w:rPr>
              <w:rFonts w:hint="default"/>
              <w:lang w:val="en-US" w:eastAsia="zh-CN"/>
            </w:rPr>
            <w:fldChar w:fldCharType="separate"/>
          </w:r>
          <w:r>
            <w:rPr>
              <w:rFonts w:hint="default"/>
            </w:rPr>
            <w:t xml:space="preserve">6.6. </w:t>
          </w:r>
          <w:r>
            <w:t>脆弱性评估</w:t>
          </w:r>
          <w:r>
            <w:tab/>
          </w:r>
          <w:r>
            <w:fldChar w:fldCharType="begin"/>
          </w:r>
          <w:r>
            <w:instrText xml:space="preserve"> PAGEREF _Toc23614 \h </w:instrText>
          </w:r>
          <w:r>
            <w:fldChar w:fldCharType="separate"/>
          </w:r>
          <w:r>
            <w:t>15</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_Toc17374 </w:instrText>
          </w:r>
          <w:r>
            <w:rPr>
              <w:rFonts w:hint="default"/>
              <w:lang w:val="en-US" w:eastAsia="zh-CN"/>
            </w:rPr>
            <w:fldChar w:fldCharType="separate"/>
          </w:r>
          <w:r>
            <w:rPr>
              <w:rFonts w:hint="default"/>
            </w:rPr>
            <w:t xml:space="preserve">6.7. </w:t>
          </w:r>
          <w:r>
            <w:t>风险评估分析</w:t>
          </w:r>
          <w:r>
            <w:tab/>
          </w:r>
          <w:r>
            <w:fldChar w:fldCharType="begin"/>
          </w:r>
          <w:r>
            <w:instrText xml:space="preserve"> PAGEREF _Toc17374 \h </w:instrText>
          </w:r>
          <w:r>
            <w:fldChar w:fldCharType="separate"/>
          </w:r>
          <w:r>
            <w:t>16</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_Toc25285 </w:instrText>
          </w:r>
          <w:r>
            <w:rPr>
              <w:rFonts w:hint="default"/>
              <w:lang w:val="en-US" w:eastAsia="zh-CN"/>
            </w:rPr>
            <w:fldChar w:fldCharType="separate"/>
          </w:r>
          <w:r>
            <w:rPr>
              <w:rFonts w:hint="default"/>
            </w:rPr>
            <w:t xml:space="preserve">6.8. </w:t>
          </w:r>
          <w:r>
            <w:t>7.9 设计安全规范</w:t>
          </w:r>
          <w:r>
            <w:tab/>
          </w:r>
          <w:r>
            <w:fldChar w:fldCharType="begin"/>
          </w:r>
          <w:r>
            <w:instrText xml:space="preserve"> PAGEREF _Toc25285 \h </w:instrText>
          </w:r>
          <w:r>
            <w:fldChar w:fldCharType="separate"/>
          </w:r>
          <w:r>
            <w:t>17</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_Toc2670 </w:instrText>
          </w:r>
          <w:r>
            <w:rPr>
              <w:rFonts w:hint="default"/>
              <w:lang w:val="en-US" w:eastAsia="zh-CN"/>
            </w:rPr>
            <w:fldChar w:fldCharType="separate"/>
          </w:r>
          <w:r>
            <w:rPr>
              <w:rFonts w:hint="default"/>
            </w:rPr>
            <w:t xml:space="preserve">6.9. </w:t>
          </w:r>
          <w:r>
            <w:t>实施安全规范</w:t>
          </w:r>
          <w:r>
            <w:tab/>
          </w:r>
          <w:r>
            <w:fldChar w:fldCharType="begin"/>
          </w:r>
          <w:r>
            <w:instrText xml:space="preserve"> PAGEREF _Toc2670 \h </w:instrText>
          </w:r>
          <w:r>
            <w:fldChar w:fldCharType="separate"/>
          </w:r>
          <w:r>
            <w:t>18</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_Toc13637 </w:instrText>
          </w:r>
          <w:r>
            <w:rPr>
              <w:rFonts w:hint="default"/>
              <w:lang w:val="en-US" w:eastAsia="zh-CN"/>
            </w:rPr>
            <w:fldChar w:fldCharType="separate"/>
          </w:r>
          <w:r>
            <w:rPr>
              <w:rFonts w:hint="default"/>
            </w:rPr>
            <w:t xml:space="preserve">6.10. </w:t>
          </w:r>
          <w:r>
            <w:t>监控安全状况</w:t>
          </w:r>
          <w:r>
            <w:tab/>
          </w:r>
          <w:r>
            <w:fldChar w:fldCharType="begin"/>
          </w:r>
          <w:r>
            <w:instrText xml:space="preserve"> PAGEREF _Toc13637 \h </w:instrText>
          </w:r>
          <w:r>
            <w:fldChar w:fldCharType="separate"/>
          </w:r>
          <w:r>
            <w:t>19</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_Toc631 </w:instrText>
          </w:r>
          <w:r>
            <w:rPr>
              <w:rFonts w:hint="default"/>
              <w:lang w:val="en-US" w:eastAsia="zh-CN"/>
            </w:rPr>
            <w:fldChar w:fldCharType="separate"/>
          </w:r>
          <w:r>
            <w:rPr>
              <w:rFonts w:hint="default"/>
            </w:rPr>
            <w:t xml:space="preserve">6.11. </w:t>
          </w:r>
          <w:r>
            <w:t>维护安全规范</w:t>
          </w:r>
          <w:r>
            <w:tab/>
          </w:r>
          <w:r>
            <w:fldChar w:fldCharType="begin"/>
          </w:r>
          <w:r>
            <w:instrText xml:space="preserve"> PAGEREF _Toc631 \h </w:instrText>
          </w:r>
          <w:r>
            <w:fldChar w:fldCharType="separate"/>
          </w:r>
          <w:r>
            <w:t>19</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_Toc22572 </w:instrText>
          </w:r>
          <w:r>
            <w:rPr>
              <w:rFonts w:hint="default"/>
              <w:lang w:val="en-US" w:eastAsia="zh-CN"/>
            </w:rPr>
            <w:fldChar w:fldCharType="separate"/>
          </w:r>
          <w:r>
            <w:rPr>
              <w:rFonts w:hint="default"/>
            </w:rPr>
            <w:t xml:space="preserve">6.12. </w:t>
          </w:r>
          <w:r>
            <w:t>风险的处置</w:t>
          </w:r>
          <w:r>
            <w:tab/>
          </w:r>
          <w:r>
            <w:fldChar w:fldCharType="begin"/>
          </w:r>
          <w:r>
            <w:instrText xml:space="preserve"> PAGEREF _Toc22572 \h </w:instrText>
          </w:r>
          <w:r>
            <w:fldChar w:fldCharType="separate"/>
          </w:r>
          <w:r>
            <w:t>20</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_Toc27611 </w:instrText>
          </w:r>
          <w:r>
            <w:rPr>
              <w:rFonts w:hint="default"/>
              <w:lang w:val="en-US" w:eastAsia="zh-CN"/>
            </w:rPr>
            <w:fldChar w:fldCharType="separate"/>
          </w:r>
          <w:r>
            <w:rPr>
              <w:rFonts w:hint="default"/>
            </w:rPr>
            <w:t xml:space="preserve">6.13. </w:t>
          </w:r>
          <w:r>
            <w:t>剩余风险评估</w:t>
          </w:r>
          <w:r>
            <w:tab/>
          </w:r>
          <w:r>
            <w:fldChar w:fldCharType="begin"/>
          </w:r>
          <w:r>
            <w:instrText xml:space="preserve"> PAGEREF _Toc27611 \h </w:instrText>
          </w:r>
          <w:r>
            <w:fldChar w:fldCharType="separate"/>
          </w:r>
          <w:r>
            <w:t>21</w:t>
          </w:r>
          <w:r>
            <w:fldChar w:fldCharType="end"/>
          </w:r>
          <w:r>
            <w:rPr>
              <w:rFonts w:hint="default"/>
              <w:lang w:val="en-US" w:eastAsia="zh-CN"/>
            </w:rPr>
            <w:fldChar w:fldCharType="end"/>
          </w:r>
        </w:p>
        <w:p>
          <w:pPr>
            <w:pStyle w:val="TOC2"/>
            <w:tabs>
              <w:tab w:val="right" w:leader="dot" w:pos="8305"/>
            </w:tabs>
          </w:pPr>
          <w:r>
            <w:rPr>
              <w:rFonts w:hint="default"/>
              <w:lang w:val="en-US" w:eastAsia="zh-CN"/>
            </w:rPr>
            <w:fldChar w:fldCharType="begin"/>
          </w:r>
          <w:r>
            <w:rPr>
              <w:rFonts w:hint="default"/>
              <w:lang w:val="en-US" w:eastAsia="zh-CN"/>
            </w:rPr>
            <w:instrText xml:space="preserve"> HYPERLINK \l _Toc19542 </w:instrText>
          </w:r>
          <w:r>
            <w:rPr>
              <w:rFonts w:hint="default"/>
              <w:lang w:val="en-US" w:eastAsia="zh-CN"/>
            </w:rPr>
            <w:fldChar w:fldCharType="separate"/>
          </w:r>
          <w:r>
            <w:rPr>
              <w:rFonts w:hint="default"/>
            </w:rPr>
            <w:t xml:space="preserve">6.14. </w:t>
          </w:r>
          <w:r>
            <w:t>信息安全事件管理</w:t>
          </w:r>
          <w:r>
            <w:tab/>
          </w:r>
          <w:r>
            <w:fldChar w:fldCharType="begin"/>
          </w:r>
          <w:r>
            <w:instrText xml:space="preserve"> PAGEREF _Toc19542 \h </w:instrText>
          </w:r>
          <w:r>
            <w:fldChar w:fldCharType="separate"/>
          </w:r>
          <w:r>
            <w:t>21</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_Toc2689 </w:instrText>
          </w:r>
          <w:r>
            <w:rPr>
              <w:rFonts w:hint="default"/>
              <w:lang w:val="en-US" w:eastAsia="zh-CN"/>
            </w:rPr>
            <w:fldChar w:fldCharType="separate"/>
          </w:r>
          <w:r>
            <w:rPr>
              <w:rFonts w:hint="default"/>
            </w:rPr>
            <w:t xml:space="preserve">7. </w:t>
          </w:r>
          <w:r>
            <w:t>信息安全与其他流程的关系</w:t>
          </w:r>
          <w:r>
            <w:tab/>
          </w:r>
          <w:r>
            <w:fldChar w:fldCharType="begin"/>
          </w:r>
          <w:r>
            <w:instrText xml:space="preserve"> PAGEREF _Toc2689 \h </w:instrText>
          </w:r>
          <w:r>
            <w:fldChar w:fldCharType="separate"/>
          </w:r>
          <w:r>
            <w:t>22</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_Toc23195 </w:instrText>
          </w:r>
          <w:r>
            <w:rPr>
              <w:rFonts w:hint="default"/>
              <w:lang w:val="en-US" w:eastAsia="zh-CN"/>
            </w:rPr>
            <w:fldChar w:fldCharType="separate"/>
          </w:r>
          <w:r>
            <w:rPr>
              <w:rFonts w:hint="default"/>
            </w:rPr>
            <w:t xml:space="preserve">8. </w:t>
          </w:r>
          <w:r>
            <w:t>KPI 指标</w:t>
          </w:r>
          <w:r>
            <w:tab/>
          </w:r>
          <w:r>
            <w:fldChar w:fldCharType="begin"/>
          </w:r>
          <w:r>
            <w:instrText xml:space="preserve"> PAGEREF _Toc23195 \h </w:instrText>
          </w:r>
          <w:r>
            <w:fldChar w:fldCharType="separate"/>
          </w:r>
          <w:r>
            <w:t>23</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_Toc3622 </w:instrText>
          </w:r>
          <w:r>
            <w:rPr>
              <w:rFonts w:hint="default"/>
              <w:lang w:val="en-US" w:eastAsia="zh-CN"/>
            </w:rPr>
            <w:fldChar w:fldCharType="separate"/>
          </w:r>
          <w:r>
            <w:rPr>
              <w:rFonts w:hint="default"/>
            </w:rPr>
            <w:t xml:space="preserve">9. </w:t>
          </w:r>
          <w:r>
            <w:t>相关文件</w:t>
          </w:r>
          <w:r>
            <w:tab/>
          </w:r>
          <w:r>
            <w:fldChar w:fldCharType="begin"/>
          </w:r>
          <w:r>
            <w:instrText xml:space="preserve"> PAGEREF _Toc3622 \h </w:instrText>
          </w:r>
          <w:r>
            <w:fldChar w:fldCharType="separate"/>
          </w:r>
          <w:r>
            <w:t>23</w:t>
          </w:r>
          <w:r>
            <w:fldChar w:fldCharType="end"/>
          </w:r>
          <w:r>
            <w:rPr>
              <w:rFonts w:hint="default"/>
              <w:lang w:val="en-US" w:eastAsia="zh-CN"/>
            </w:rPr>
            <w:fldChar w:fldCharType="end"/>
          </w:r>
        </w:p>
        <w:p>
          <w:pPr>
            <w:pStyle w:val="TOC1"/>
            <w:tabs>
              <w:tab w:val="right" w:leader="dot" w:pos="8305"/>
            </w:tabs>
          </w:pPr>
          <w:r>
            <w:rPr>
              <w:rFonts w:hint="default"/>
              <w:lang w:val="en-US" w:eastAsia="zh-CN"/>
            </w:rPr>
            <w:fldChar w:fldCharType="begin"/>
          </w:r>
          <w:r>
            <w:rPr>
              <w:rFonts w:hint="default"/>
              <w:lang w:val="en-US" w:eastAsia="zh-CN"/>
            </w:rPr>
            <w:instrText xml:space="preserve"> HYPERLINK \l _Toc31979 </w:instrText>
          </w:r>
          <w:r>
            <w:rPr>
              <w:rFonts w:hint="default"/>
              <w:lang w:val="en-US" w:eastAsia="zh-CN"/>
            </w:rPr>
            <w:fldChar w:fldCharType="separate"/>
          </w:r>
          <w:r>
            <w:rPr>
              <w:rFonts w:hint="default"/>
            </w:rPr>
            <w:t xml:space="preserve">10. </w:t>
          </w:r>
          <w:r>
            <w:t>相关记录</w:t>
          </w:r>
          <w:r>
            <w:tab/>
          </w:r>
          <w:r>
            <w:fldChar w:fldCharType="begin"/>
          </w:r>
          <w:r>
            <w:instrText xml:space="preserve"> PAGEREF _Toc31979 \h </w:instrText>
          </w:r>
          <w:r>
            <w:fldChar w:fldCharType="separate"/>
          </w:r>
          <w:r>
            <w:t>23</w:t>
          </w:r>
          <w:r>
            <w:fldChar w:fldCharType="end"/>
          </w:r>
          <w:r>
            <w:rPr>
              <w:rFonts w:hint="default"/>
              <w:lang w:val="en-US" w:eastAsia="zh-CN"/>
            </w:rPr>
            <w:fldChar w:fldCharType="end"/>
          </w:r>
        </w:p>
        <w:p>
          <w:pPr>
            <w:pStyle w:val="a1"/>
            <w:bidi w:val="0"/>
            <w:rPr>
              <w:rFonts w:ascii="Arial" w:eastAsia="宋体" w:hAnsi="Arial" w:cs="Arial" w:hint="default"/>
              <w:snapToGrid w:val="0"/>
              <w:color w:val="000000"/>
              <w:kern w:val="0"/>
              <w:sz w:val="24"/>
              <w:szCs w:val="21"/>
              <w:lang w:val="en-US" w:eastAsia="zh-CN" w:bidi="ar-SA"/>
            </w:rPr>
          </w:pPr>
          <w:r>
            <w:rPr>
              <w:rFonts w:hint="default"/>
              <w:lang w:val="en-US" w:eastAsia="zh-CN"/>
            </w:rPr>
            <w:fldChar w:fldCharType="end"/>
          </w:r>
        </w:p>
      </w:sdtContent>
    </w:sdt>
    <w:p>
      <w:pPr>
        <w:pStyle w:val="a1"/>
        <w:bidi w:val="0"/>
        <w:rPr>
          <w:rFonts w:ascii="Arial" w:eastAsia="宋体" w:hAnsi="Arial" w:cs="Arial" w:hint="default"/>
          <w:snapToGrid w:val="0"/>
          <w:color w:val="000000"/>
          <w:kern w:val="0"/>
          <w:sz w:val="24"/>
          <w:szCs w:val="21"/>
          <w:lang w:val="en-US" w:eastAsia="zh-CN" w:bidi="ar-SA"/>
        </w:rPr>
      </w:pPr>
    </w:p>
    <w:p>
      <w:pPr>
        <w:pStyle w:val="1"/>
        <w:bidi w:val="0"/>
      </w:pPr>
      <w:r>
        <w:br w:type="page"/>
      </w:r>
      <w:bookmarkEnd w:id="1"/>
      <w:bookmarkStart w:id="5" w:name="_Toc19537"/>
      <w:r>
        <w:t>目的</w:t>
      </w:r>
      <w:bookmarkEnd w:id="5"/>
    </w:p>
    <w:p>
      <w:pPr>
        <w:pStyle w:val="a1"/>
        <w:bidi w:val="0"/>
      </w:pPr>
      <w:r>
        <w:t>本程序的目的是在运维服务交付过程中有效的管理信息安全。</w:t>
      </w:r>
    </w:p>
    <w:p>
      <w:pPr>
        <w:pStyle w:val="a1"/>
        <w:bidi w:val="0"/>
      </w:pPr>
      <w:r>
        <w:t>满足信息管理系统运行和客户服务中的安全性需求以及合同、法律和外部政策等外部要求；</w:t>
      </w:r>
    </w:p>
    <w:p>
      <w:pPr>
        <w:pStyle w:val="a1"/>
        <w:bidi w:val="0"/>
      </w:pPr>
      <w:r>
        <w:t>提供一个满足需求的基本的信息系统安全基线；</w:t>
      </w:r>
    </w:p>
    <w:p>
      <w:pPr>
        <w:pStyle w:val="a1"/>
        <w:bidi w:val="0"/>
      </w:pPr>
      <w:r>
        <w:t>确保有效的信息安全措施在公司、运维服务部门和服务人员三个层面都得到贯彻。</w:t>
      </w:r>
    </w:p>
    <w:p>
      <w:pPr>
        <w:pStyle w:val="1"/>
        <w:bidi w:val="0"/>
      </w:pPr>
      <w:bookmarkStart w:id="6" w:name="heading_3"/>
      <w:bookmarkStart w:id="7" w:name="_Toc7373"/>
      <w:r>
        <w:t>过程定义</w:t>
      </w:r>
      <w:bookmarkEnd w:id="6"/>
      <w:bookmarkEnd w:id="7"/>
    </w:p>
    <w:p>
      <w:pPr>
        <w:pStyle w:val="a1"/>
        <w:bidi w:val="0"/>
      </w:pPr>
      <w:r>
        <w:t>安全管理是顺应信息安全的需要而产生的，其主要目标是确保信息的安全性。安全管理致力于确保服务的安全性在任何时候都能达到与客户约定的级别。</w:t>
      </w:r>
    </w:p>
    <w:p>
      <w:pPr>
        <w:pStyle w:val="a1"/>
        <w:bidi w:val="0"/>
      </w:pPr>
      <w:r>
        <w:t>安全性在服务中被视为可用性管理的一部分。安全管理已经成为现代服务管理中一个重要的问题。</w:t>
      </w:r>
    </w:p>
    <w:p>
      <w:pPr>
        <w:pStyle w:val="a1"/>
        <w:bidi w:val="0"/>
      </w:pPr>
      <w:r>
        <w:t>安全性是指不易遭到已知风险的侵袭，并且尽可能地规避未知风险的性能。提供这种性能的工具是安全措施。</w:t>
      </w:r>
    </w:p>
    <w:p>
      <w:pPr>
        <w:pStyle w:val="a1"/>
        <w:bidi w:val="0"/>
      </w:pPr>
      <w:r>
        <w:t>安全措施的目标是要保护信息的价值，这种价值取决于机密性、完整性和可用性三个方面。</w:t>
      </w:r>
    </w:p>
    <w:p>
      <w:pPr>
        <w:pStyle w:val="2"/>
        <w:bidi w:val="0"/>
      </w:pPr>
      <w:bookmarkStart w:id="8" w:name="heading_4"/>
      <w:bookmarkStart w:id="9" w:name="_Toc32529"/>
      <w:r>
        <w:t>范围</w:t>
      </w:r>
      <w:bookmarkEnd w:id="8"/>
      <w:bookmarkEnd w:id="9"/>
    </w:p>
    <w:p>
      <w:pPr>
        <w:pStyle w:val="a1"/>
        <w:bidi w:val="0"/>
      </w:pPr>
      <w:r>
        <w:t>本程序适用于运维服务覆盖的所有部门。</w:t>
      </w:r>
    </w:p>
    <w:p>
      <w:pPr>
        <w:pStyle w:val="2"/>
        <w:bidi w:val="0"/>
      </w:pPr>
      <w:bookmarkStart w:id="10" w:name="heading_5"/>
      <w:bookmarkStart w:id="11" w:name="_Toc6284"/>
      <w:r>
        <w:t>过程负责人</w:t>
      </w:r>
      <w:bookmarkEnd w:id="10"/>
      <w:bookmarkEnd w:id="11"/>
    </w:p>
    <w:p>
      <w:pPr>
        <w:pStyle w:val="a1"/>
        <w:bidi w:val="0"/>
      </w:pPr>
      <w:r>
        <w:t>安全管理负责人</w:t>
      </w:r>
    </w:p>
    <w:p>
      <w:pPr>
        <w:pStyle w:val="2"/>
        <w:bidi w:val="0"/>
      </w:pPr>
      <w:bookmarkStart w:id="12" w:name="heading_6"/>
      <w:bookmarkStart w:id="13" w:name="_Toc6388"/>
      <w:r>
        <w:t>主要输入</w:t>
      </w:r>
      <w:bookmarkEnd w:id="12"/>
      <w:bookmarkEnd w:id="13"/>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3000"/>
        <w:gridCol w:w="380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3000" w:type="dxa"/>
            <w:tcMar>
              <w:top w:w="60" w:type="dxa"/>
              <w:left w:w="120" w:type="dxa"/>
              <w:bottom w:w="30" w:type="dxa"/>
              <w:right w:w="120" w:type="dxa"/>
            </w:tcMar>
          </w:tcPr>
          <w:p>
            <w:r>
              <w:t>输入</w:t>
            </w:r>
          </w:p>
        </w:tc>
        <w:tc>
          <w:tcPr>
            <w:tcW w:w="3808" w:type="dxa"/>
            <w:tcMar>
              <w:top w:w="60" w:type="dxa"/>
              <w:left w:w="120" w:type="dxa"/>
              <w:bottom w:w="30" w:type="dxa"/>
              <w:right w:w="120" w:type="dxa"/>
            </w:tcMar>
          </w:tcPr>
          <w:p>
            <w:r>
              <w:t>来源</w:t>
            </w:r>
          </w:p>
        </w:tc>
      </w:tr>
      <w:tr>
        <w:tblPrEx>
          <w:tblW w:w="0" w:type="auto"/>
          <w:tblInd w:w="0" w:type="dxa"/>
          <w:tblLayout w:type="fixed"/>
          <w:tblCellMar>
            <w:top w:w="0" w:type="dxa"/>
            <w:left w:w="10" w:type="dxa"/>
            <w:bottom w:w="0" w:type="dxa"/>
            <w:right w:w="10" w:type="dxa"/>
          </w:tblCellMar>
        </w:tblPrEx>
        <w:trPr>
          <w:trHeight w:val="356"/>
        </w:trPr>
        <w:tc>
          <w:tcPr>
            <w:tcW w:w="3000" w:type="dxa"/>
            <w:tcMar>
              <w:top w:w="60" w:type="dxa"/>
              <w:left w:w="120" w:type="dxa"/>
              <w:bottom w:w="30" w:type="dxa"/>
              <w:right w:w="120" w:type="dxa"/>
            </w:tcMar>
          </w:tcPr>
          <w:p>
            <w:r>
              <w:t>服务级别需求</w:t>
            </w:r>
          </w:p>
        </w:tc>
        <w:tc>
          <w:tcPr>
            <w:tcW w:w="3808" w:type="dxa"/>
            <w:tcMar>
              <w:top w:w="60" w:type="dxa"/>
              <w:left w:w="120" w:type="dxa"/>
              <w:bottom w:w="30" w:type="dxa"/>
              <w:right w:w="120" w:type="dxa"/>
            </w:tcMar>
          </w:tcPr>
          <w:p>
            <w:r>
              <w:t>服务级别协议。</w:t>
            </w:r>
          </w:p>
        </w:tc>
      </w:tr>
      <w:tr>
        <w:tblPrEx>
          <w:tblW w:w="0" w:type="auto"/>
          <w:tblInd w:w="0" w:type="dxa"/>
          <w:tblLayout w:type="fixed"/>
          <w:tblCellMar>
            <w:top w:w="0" w:type="dxa"/>
            <w:left w:w="10" w:type="dxa"/>
            <w:bottom w:w="0" w:type="dxa"/>
            <w:right w:w="10" w:type="dxa"/>
          </w:tblCellMar>
        </w:tblPrEx>
        <w:tc>
          <w:tcPr>
            <w:tcW w:w="3000" w:type="dxa"/>
            <w:tcMar>
              <w:top w:w="60" w:type="dxa"/>
              <w:left w:w="120" w:type="dxa"/>
              <w:bottom w:w="30" w:type="dxa"/>
              <w:right w:w="120" w:type="dxa"/>
            </w:tcMar>
          </w:tcPr>
          <w:p>
            <w:r>
              <w:t>配置管理</w:t>
            </w:r>
          </w:p>
        </w:tc>
        <w:tc>
          <w:tcPr>
            <w:tcW w:w="3808" w:type="dxa"/>
            <w:tcMar>
              <w:top w:w="60" w:type="dxa"/>
              <w:left w:w="120" w:type="dxa"/>
              <w:bottom w:w="30" w:type="dxa"/>
              <w:right w:w="120" w:type="dxa"/>
            </w:tcMar>
          </w:tcPr>
          <w:p>
            <w:r>
              <w:t>系统的配置项，记录和报告配置。</w:t>
            </w:r>
          </w:p>
        </w:tc>
      </w:tr>
    </w:tbl>
    <w:p>
      <w:pPr>
        <w:pStyle w:val="2"/>
        <w:bidi w:val="0"/>
      </w:pPr>
      <w:bookmarkStart w:id="14" w:name="heading_7"/>
      <w:bookmarkStart w:id="15" w:name="_Toc18465"/>
      <w:r>
        <w:t>主要输出</w:t>
      </w:r>
      <w:bookmarkEnd w:id="14"/>
      <w:bookmarkEnd w:id="15"/>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648"/>
        <w:gridCol w:w="435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648" w:type="dxa"/>
            <w:tcMar>
              <w:top w:w="60" w:type="dxa"/>
              <w:left w:w="120" w:type="dxa"/>
              <w:bottom w:w="30" w:type="dxa"/>
              <w:right w:w="120" w:type="dxa"/>
            </w:tcMar>
          </w:tcPr>
          <w:p>
            <w:r>
              <w:t>输出</w:t>
            </w:r>
          </w:p>
        </w:tc>
        <w:tc>
          <w:tcPr>
            <w:tcW w:w="4352" w:type="dxa"/>
            <w:tcMar>
              <w:top w:w="60" w:type="dxa"/>
              <w:left w:w="120" w:type="dxa"/>
              <w:bottom w:w="30" w:type="dxa"/>
              <w:right w:w="120" w:type="dxa"/>
            </w:tcMar>
          </w:tcPr>
          <w:p>
            <w:r>
              <w:t>去向</w:t>
            </w:r>
          </w:p>
        </w:tc>
      </w:tr>
      <w:tr>
        <w:tblPrEx>
          <w:tblW w:w="0" w:type="auto"/>
          <w:tblInd w:w="0" w:type="dxa"/>
          <w:tblLayout w:type="fixed"/>
          <w:tblCellMar>
            <w:top w:w="0" w:type="dxa"/>
            <w:left w:w="10" w:type="dxa"/>
            <w:bottom w:w="0" w:type="dxa"/>
            <w:right w:w="10" w:type="dxa"/>
          </w:tblCellMar>
        </w:tblPrEx>
        <w:tc>
          <w:tcPr>
            <w:tcW w:w="1648" w:type="dxa"/>
            <w:tcMar>
              <w:top w:w="60" w:type="dxa"/>
              <w:left w:w="120" w:type="dxa"/>
              <w:bottom w:w="30" w:type="dxa"/>
              <w:right w:w="120" w:type="dxa"/>
            </w:tcMar>
          </w:tcPr>
          <w:p>
            <w:r>
              <w:t>风险评估报告</w:t>
            </w:r>
          </w:p>
        </w:tc>
        <w:tc>
          <w:tcPr>
            <w:tcW w:w="4352" w:type="dxa"/>
            <w:tcMar>
              <w:top w:w="60" w:type="dxa"/>
              <w:left w:w="120" w:type="dxa"/>
              <w:bottom w:w="30" w:type="dxa"/>
              <w:right w:w="120" w:type="dxa"/>
            </w:tcMar>
          </w:tcPr>
          <w:p>
            <w:r>
              <w:t>信息安全管理负责人、部门经理。</w:t>
            </w:r>
          </w:p>
        </w:tc>
      </w:tr>
      <w:tr>
        <w:tblPrEx>
          <w:tblW w:w="0" w:type="auto"/>
          <w:tblInd w:w="0" w:type="dxa"/>
          <w:tblLayout w:type="fixed"/>
          <w:tblCellMar>
            <w:top w:w="0" w:type="dxa"/>
            <w:left w:w="10" w:type="dxa"/>
            <w:bottom w:w="0" w:type="dxa"/>
            <w:right w:w="10" w:type="dxa"/>
          </w:tblCellMar>
        </w:tblPrEx>
        <w:tc>
          <w:tcPr>
            <w:tcW w:w="1648" w:type="dxa"/>
            <w:tcMar>
              <w:top w:w="60" w:type="dxa"/>
              <w:left w:w="120" w:type="dxa"/>
              <w:bottom w:w="30" w:type="dxa"/>
              <w:right w:w="120" w:type="dxa"/>
            </w:tcMar>
          </w:tcPr>
          <w:p>
            <w:r>
              <w:t>信息安全报告</w:t>
            </w:r>
          </w:p>
        </w:tc>
        <w:tc>
          <w:tcPr>
            <w:tcW w:w="4352" w:type="dxa"/>
            <w:tcMar>
              <w:top w:w="60" w:type="dxa"/>
              <w:left w:w="120" w:type="dxa"/>
              <w:bottom w:w="30" w:type="dxa"/>
              <w:right w:w="120" w:type="dxa"/>
            </w:tcMar>
          </w:tcPr>
          <w:p>
            <w:r>
              <w:t>信息安全管理负责人、部门经理。</w:t>
            </w:r>
          </w:p>
        </w:tc>
      </w:tr>
      <w:tr>
        <w:tblPrEx>
          <w:tblW w:w="0" w:type="auto"/>
          <w:tblInd w:w="0" w:type="dxa"/>
          <w:tblLayout w:type="fixed"/>
          <w:tblCellMar>
            <w:top w:w="0" w:type="dxa"/>
            <w:left w:w="10" w:type="dxa"/>
            <w:bottom w:w="0" w:type="dxa"/>
            <w:right w:w="10" w:type="dxa"/>
          </w:tblCellMar>
        </w:tblPrEx>
        <w:tc>
          <w:tcPr>
            <w:tcW w:w="1648" w:type="dxa"/>
            <w:tcMar>
              <w:top w:w="60" w:type="dxa"/>
              <w:left w:w="120" w:type="dxa"/>
              <w:bottom w:w="30" w:type="dxa"/>
              <w:right w:w="120" w:type="dxa"/>
            </w:tcMar>
          </w:tcPr>
          <w:p>
            <w:r>
              <w:t>变更管理</w:t>
            </w:r>
          </w:p>
        </w:tc>
        <w:tc>
          <w:tcPr>
            <w:tcW w:w="4352" w:type="dxa"/>
            <w:tcMar>
              <w:top w:w="60" w:type="dxa"/>
              <w:left w:w="120" w:type="dxa"/>
              <w:bottom w:w="30" w:type="dxa"/>
              <w:right w:w="120" w:type="dxa"/>
            </w:tcMar>
          </w:tcPr>
          <w:p>
            <w:r>
              <w:t>服务实施过程中，服务交付过程的主要步骤。</w:t>
            </w:r>
          </w:p>
        </w:tc>
      </w:tr>
      <w:tr>
        <w:tblPrEx>
          <w:tblW w:w="0" w:type="auto"/>
          <w:tblInd w:w="0" w:type="dxa"/>
          <w:tblLayout w:type="fixed"/>
          <w:tblCellMar>
            <w:top w:w="0" w:type="dxa"/>
            <w:left w:w="10" w:type="dxa"/>
            <w:bottom w:w="0" w:type="dxa"/>
            <w:right w:w="10" w:type="dxa"/>
          </w:tblCellMar>
        </w:tblPrEx>
        <w:tc>
          <w:tcPr>
            <w:tcW w:w="1648" w:type="dxa"/>
            <w:tcMar>
              <w:top w:w="60" w:type="dxa"/>
              <w:left w:w="120" w:type="dxa"/>
              <w:bottom w:w="30" w:type="dxa"/>
              <w:right w:w="120" w:type="dxa"/>
            </w:tcMar>
          </w:tcPr>
          <w:p>
            <w:r>
              <w:t>服务报告管理</w:t>
            </w:r>
          </w:p>
        </w:tc>
        <w:tc>
          <w:tcPr>
            <w:tcW w:w="4352" w:type="dxa"/>
            <w:tcMar>
              <w:top w:w="60" w:type="dxa"/>
              <w:left w:w="120" w:type="dxa"/>
              <w:bottom w:w="30" w:type="dxa"/>
              <w:right w:w="120" w:type="dxa"/>
            </w:tcMar>
          </w:tcPr>
          <w:p>
            <w:r>
              <w:t>服务实施过程中，服务交付过程的主要步骤。</w:t>
            </w:r>
          </w:p>
        </w:tc>
      </w:tr>
    </w:tbl>
    <w:p>
      <w:pPr>
        <w:pStyle w:val="2"/>
        <w:bidi w:val="0"/>
      </w:pPr>
      <w:bookmarkStart w:id="16" w:name="heading_8"/>
      <w:bookmarkStart w:id="17" w:name="_Toc9370"/>
      <w:r>
        <w:t>职责权限</w:t>
      </w:r>
      <w:bookmarkEnd w:id="16"/>
      <w:bookmarkEnd w:id="17"/>
    </w:p>
    <w:p>
      <w:pPr>
        <w:pStyle w:val="3"/>
        <w:bidi w:val="0"/>
      </w:pPr>
      <w:bookmarkStart w:id="18" w:name="_Toc8094"/>
      <w:r>
        <w:t>安全管理负责人</w:t>
      </w:r>
      <w:bookmarkEnd w:id="18"/>
    </w:p>
    <w:p>
      <w:pPr>
        <w:pStyle w:val="a1"/>
        <w:bidi w:val="0"/>
      </w:pPr>
      <w:r>
        <w:rPr>
          <w:rFonts w:hint="eastAsia"/>
          <w:lang w:val="en-US" w:eastAsia="zh-CN"/>
        </w:rPr>
        <w:t>一般由项目经理担任，</w:t>
      </w:r>
      <w:r>
        <w:t>负责整个安全管理流程的有效运作。</w:t>
      </w:r>
    </w:p>
    <w:p>
      <w:pPr>
        <w:pStyle w:val="a1"/>
        <w:bidi w:val="0"/>
      </w:pPr>
      <w:r>
        <w:t>安全管理负责人职责：</w:t>
      </w:r>
    </w:p>
    <w:p>
      <w:pPr>
        <w:pStyle w:val="a1"/>
        <w:bidi w:val="0"/>
      </w:pPr>
      <w:r>
        <w:t>监控安全管理流程；</w:t>
      </w:r>
    </w:p>
    <w:p>
      <w:pPr>
        <w:pStyle w:val="a1"/>
        <w:bidi w:val="0"/>
      </w:pPr>
      <w:r>
        <w:t>根据组织安全需求，开发与维护安全计划；</w:t>
      </w:r>
    </w:p>
    <w:p>
      <w:pPr>
        <w:pStyle w:val="a1"/>
        <w:bidi w:val="0"/>
      </w:pPr>
      <w:r>
        <w:t>处理与安全相关的问题和事件；</w:t>
      </w:r>
    </w:p>
    <w:p>
      <w:pPr>
        <w:pStyle w:val="a1"/>
        <w:bidi w:val="0"/>
      </w:pPr>
      <w:r>
        <w:t>确保满足SLA中指定的安全需求；</w:t>
      </w:r>
    </w:p>
    <w:p>
      <w:pPr>
        <w:pStyle w:val="a1"/>
        <w:bidi w:val="0"/>
      </w:pPr>
      <w:r>
        <w:t>完成包含流程结果，自评估及内部审计的信息安全风险评估报告；</w:t>
      </w:r>
    </w:p>
    <w:p>
      <w:pPr>
        <w:pStyle w:val="a1"/>
        <w:bidi w:val="0"/>
      </w:pPr>
      <w:r>
        <w:t>人员组成：信息安全员管理员、部门经理等。</w:t>
      </w:r>
    </w:p>
    <w:p>
      <w:pPr>
        <w:pStyle w:val="3"/>
        <w:bidi w:val="0"/>
      </w:pPr>
      <w:bookmarkStart w:id="19" w:name="_Toc20986"/>
      <w:r>
        <w:t>客户服务负责人</w:t>
      </w:r>
      <w:bookmarkEnd w:id="19"/>
    </w:p>
    <w:p>
      <w:pPr>
        <w:pStyle w:val="a1"/>
        <w:bidi w:val="0"/>
      </w:pPr>
      <w:r>
        <w:rPr>
          <w:rFonts w:hint="eastAsia"/>
          <w:lang w:val="en-US" w:eastAsia="zh-CN"/>
        </w:rPr>
        <w:t>一般由运维工程师担任</w:t>
      </w:r>
      <w:r>
        <w:t>负责安排项目中的信息安全风险评估；</w:t>
      </w:r>
    </w:p>
    <w:p>
      <w:pPr>
        <w:pStyle w:val="a1"/>
        <w:bidi w:val="0"/>
      </w:pPr>
      <w:r>
        <w:t>做好用户的沟通，协调关于信息安全的问题。</w:t>
      </w:r>
    </w:p>
    <w:p>
      <w:pPr>
        <w:pStyle w:val="2"/>
        <w:bidi w:val="0"/>
      </w:pPr>
      <w:bookmarkStart w:id="20" w:name="heading_9"/>
      <w:bookmarkStart w:id="21" w:name="_Toc4766"/>
      <w:r>
        <w:t>过程重要控制点</w:t>
      </w:r>
      <w:bookmarkEnd w:id="20"/>
      <w:bookmarkEnd w:id="21"/>
    </w:p>
    <w:p>
      <w:pPr>
        <w:pStyle w:val="a1"/>
        <w:bidi w:val="0"/>
      </w:pPr>
      <w:r>
        <w:t>风险评估报告。</w:t>
      </w:r>
    </w:p>
    <w:p>
      <w:pPr>
        <w:pStyle w:val="a1"/>
        <w:bidi w:val="0"/>
      </w:pPr>
      <w:r>
        <w:t>信息安全管理规范。</w:t>
      </w:r>
    </w:p>
    <w:p>
      <w:pPr>
        <w:pStyle w:val="a1"/>
        <w:bidi w:val="0"/>
      </w:pPr>
      <w:r>
        <w:t>安全事件记录。</w:t>
      </w:r>
    </w:p>
    <w:p>
      <w:pPr>
        <w:pStyle w:val="2"/>
        <w:bidi w:val="0"/>
      </w:pPr>
      <w:bookmarkStart w:id="22" w:name="heading_10"/>
      <w:bookmarkStart w:id="23" w:name="_Toc17335"/>
      <w:r>
        <w:t>过程测量指标</w:t>
      </w:r>
      <w:bookmarkEnd w:id="22"/>
      <w:bookmarkEnd w:id="23"/>
    </w:p>
    <w:p>
      <w:pPr>
        <w:pStyle w:val="a1"/>
        <w:bidi w:val="0"/>
      </w:pPr>
      <w:r>
        <w:t>安全事件次数。</w:t>
      </w:r>
    </w:p>
    <w:p>
      <w:pPr>
        <w:pStyle w:val="1"/>
        <w:bidi w:val="0"/>
      </w:pPr>
      <w:bookmarkStart w:id="24" w:name="heading_11"/>
      <w:bookmarkStart w:id="25" w:name="_Toc10445"/>
      <w:r>
        <w:t>术语</w:t>
      </w:r>
      <w:bookmarkEnd w:id="24"/>
      <w:bookmarkEnd w:id="25"/>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058"/>
        <w:gridCol w:w="639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058" w:type="dxa"/>
            <w:tcMar>
              <w:top w:w="60" w:type="dxa"/>
              <w:left w:w="120" w:type="dxa"/>
              <w:bottom w:w="30" w:type="dxa"/>
              <w:right w:w="120" w:type="dxa"/>
            </w:tcMar>
          </w:tcPr>
          <w:p>
            <w:pPr>
              <w:pStyle w:val="a1"/>
              <w:bidi w:val="0"/>
              <w:ind w:left="0" w:right="0" w:firstLine="0" w:leftChars="0" w:rightChars="0" w:firstLineChars="0"/>
              <w:jc w:val="center"/>
            </w:pPr>
            <w:r>
              <w:t>术语</w:t>
            </w:r>
          </w:p>
        </w:tc>
        <w:tc>
          <w:tcPr>
            <w:tcW w:w="6390" w:type="dxa"/>
            <w:tcMar>
              <w:top w:w="60" w:type="dxa"/>
              <w:left w:w="120" w:type="dxa"/>
              <w:bottom w:w="30" w:type="dxa"/>
              <w:right w:w="120" w:type="dxa"/>
            </w:tcMar>
          </w:tcPr>
          <w:p>
            <w:pPr>
              <w:pStyle w:val="a1"/>
              <w:bidi w:val="0"/>
              <w:ind w:left="0" w:right="0" w:firstLine="0" w:leftChars="0" w:rightChars="0" w:firstLineChars="0"/>
              <w:jc w:val="center"/>
            </w:pPr>
            <w:r>
              <w:t>定义</w:t>
            </w:r>
          </w:p>
        </w:tc>
      </w:tr>
      <w:tr>
        <w:tblPrEx>
          <w:tblW w:w="0" w:type="auto"/>
          <w:tblInd w:w="0" w:type="dxa"/>
          <w:tblLayout w:type="fixed"/>
          <w:tblCellMar>
            <w:top w:w="0" w:type="dxa"/>
            <w:left w:w="10" w:type="dxa"/>
            <w:bottom w:w="0" w:type="dxa"/>
            <w:right w:w="10" w:type="dxa"/>
          </w:tblCellMar>
        </w:tblPrEx>
        <w:tc>
          <w:tcPr>
            <w:tcW w:w="1058" w:type="dxa"/>
            <w:tcMar>
              <w:top w:w="60" w:type="dxa"/>
              <w:left w:w="120" w:type="dxa"/>
              <w:bottom w:w="30" w:type="dxa"/>
              <w:right w:w="120" w:type="dxa"/>
            </w:tcMar>
          </w:tcPr>
          <w:p>
            <w:pPr>
              <w:pStyle w:val="a1"/>
              <w:bidi w:val="0"/>
              <w:ind w:left="0" w:firstLine="0" w:leftChars="0" w:firstLineChars="0"/>
            </w:pPr>
            <w:r>
              <w:t>机密性</w:t>
            </w:r>
          </w:p>
        </w:tc>
        <w:tc>
          <w:tcPr>
            <w:tcW w:w="6390" w:type="dxa"/>
            <w:tcMar>
              <w:top w:w="60" w:type="dxa"/>
              <w:left w:w="120" w:type="dxa"/>
              <w:bottom w:w="30" w:type="dxa"/>
              <w:right w:w="120" w:type="dxa"/>
            </w:tcMar>
          </w:tcPr>
          <w:p>
            <w:pPr>
              <w:pStyle w:val="a1"/>
              <w:bidi w:val="0"/>
              <w:ind w:left="0" w:firstLine="0" w:leftChars="0" w:firstLineChars="0"/>
            </w:pPr>
            <w:r>
              <w:t>指保护信息免受未经授权的访问和使用。</w:t>
            </w:r>
          </w:p>
        </w:tc>
      </w:tr>
      <w:tr>
        <w:tblPrEx>
          <w:tblW w:w="0" w:type="auto"/>
          <w:tblInd w:w="0" w:type="dxa"/>
          <w:tblLayout w:type="fixed"/>
          <w:tblCellMar>
            <w:top w:w="0" w:type="dxa"/>
            <w:left w:w="10" w:type="dxa"/>
            <w:bottom w:w="0" w:type="dxa"/>
            <w:right w:w="10" w:type="dxa"/>
          </w:tblCellMar>
        </w:tblPrEx>
        <w:tc>
          <w:tcPr>
            <w:tcW w:w="1058" w:type="dxa"/>
            <w:tcMar>
              <w:top w:w="60" w:type="dxa"/>
              <w:left w:w="120" w:type="dxa"/>
              <w:bottom w:w="30" w:type="dxa"/>
              <w:right w:w="120" w:type="dxa"/>
            </w:tcMar>
          </w:tcPr>
          <w:p>
            <w:pPr>
              <w:pStyle w:val="a1"/>
              <w:bidi w:val="0"/>
              <w:ind w:left="0" w:firstLine="0" w:leftChars="0" w:firstLineChars="0"/>
            </w:pPr>
            <w:r>
              <w:t>完整性</w:t>
            </w:r>
          </w:p>
        </w:tc>
        <w:tc>
          <w:tcPr>
            <w:tcW w:w="6390" w:type="dxa"/>
            <w:tcMar>
              <w:top w:w="60" w:type="dxa"/>
              <w:left w:w="120" w:type="dxa"/>
              <w:bottom w:w="30" w:type="dxa"/>
              <w:right w:w="120" w:type="dxa"/>
            </w:tcMar>
          </w:tcPr>
          <w:p>
            <w:pPr>
              <w:pStyle w:val="a1"/>
              <w:bidi w:val="0"/>
              <w:ind w:left="0" w:firstLine="0" w:leftChars="0" w:firstLineChars="0"/>
            </w:pPr>
            <w:r>
              <w:t>指信息的准确性、完全性和及时性。</w:t>
            </w:r>
          </w:p>
        </w:tc>
      </w:tr>
      <w:tr>
        <w:tblPrEx>
          <w:tblW w:w="0" w:type="auto"/>
          <w:tblInd w:w="0" w:type="dxa"/>
          <w:tblLayout w:type="fixed"/>
          <w:tblCellMar>
            <w:top w:w="0" w:type="dxa"/>
            <w:left w:w="10" w:type="dxa"/>
            <w:bottom w:w="0" w:type="dxa"/>
            <w:right w:w="10" w:type="dxa"/>
          </w:tblCellMar>
        </w:tblPrEx>
        <w:tc>
          <w:tcPr>
            <w:tcW w:w="1058" w:type="dxa"/>
            <w:tcMar>
              <w:top w:w="60" w:type="dxa"/>
              <w:left w:w="120" w:type="dxa"/>
              <w:bottom w:w="30" w:type="dxa"/>
              <w:right w:w="120" w:type="dxa"/>
            </w:tcMar>
          </w:tcPr>
          <w:p>
            <w:pPr>
              <w:pStyle w:val="a1"/>
              <w:bidi w:val="0"/>
              <w:ind w:left="0" w:firstLine="0" w:leftChars="0" w:firstLineChars="0"/>
            </w:pPr>
            <w:r>
              <w:t>可用性</w:t>
            </w:r>
          </w:p>
        </w:tc>
        <w:tc>
          <w:tcPr>
            <w:tcW w:w="6390" w:type="dxa"/>
            <w:tcMar>
              <w:top w:w="60" w:type="dxa"/>
              <w:left w:w="120" w:type="dxa"/>
              <w:bottom w:w="30" w:type="dxa"/>
              <w:right w:w="120" w:type="dxa"/>
            </w:tcMar>
          </w:tcPr>
          <w:p>
            <w:pPr>
              <w:pStyle w:val="a1"/>
              <w:bidi w:val="0"/>
              <w:ind w:left="0" w:firstLine="0" w:leftChars="0" w:firstLineChars="0"/>
            </w:pPr>
            <w:r>
              <w:t>是信息在任何约定的时间内都可以被访问。这取决于由信息处理系统所提供的持续性。</w:t>
            </w:r>
          </w:p>
        </w:tc>
      </w:tr>
    </w:tbl>
    <w:p>
      <w:pPr>
        <w:pStyle w:val="a1"/>
        <w:bidi w:val="0"/>
      </w:pPr>
    </w:p>
    <w:p>
      <w:pPr>
        <w:pStyle w:val="1"/>
        <w:bidi w:val="0"/>
      </w:pPr>
      <w:bookmarkStart w:id="26" w:name="heading_13"/>
      <w:bookmarkStart w:id="27" w:name="_Toc23581"/>
      <w:r>
        <w:t>信息安全方针</w:t>
      </w:r>
      <w:bookmarkEnd w:id="26"/>
      <w:bookmarkEnd w:id="27"/>
    </w:p>
    <w:p>
      <w:pPr>
        <w:pStyle w:val="a1"/>
        <w:bidi w:val="0"/>
      </w:pPr>
      <w:r>
        <w:t>公司信息安全方针为：全员参与、控制风险；积极预防、持续改进；</w:t>
      </w:r>
    </w:p>
    <w:p>
      <w:pPr>
        <w:pStyle w:val="1"/>
        <w:bidi w:val="0"/>
      </w:pPr>
      <w:bookmarkStart w:id="28" w:name="heading_14"/>
      <w:bookmarkStart w:id="29" w:name="_Toc30565"/>
      <w:r>
        <w:t>信息安全策略</w:t>
      </w:r>
      <w:bookmarkEnd w:id="28"/>
      <w:bookmarkEnd w:id="29"/>
    </w:p>
    <w:p>
      <w:pPr>
        <w:pStyle w:val="a1"/>
        <w:bidi w:val="0"/>
      </w:pPr>
      <w:r>
        <w:t>为了保证信息系统安全保护工作的整体、计划性及规范性， 保证各项措施和管理手段的正确实施，使信息系统信息数据的机密性、完整性及可使用性受到全面、可靠的保护，我们往往需要制定信息系统安全策略。</w:t>
      </w:r>
    </w:p>
    <w:p>
      <w:pPr>
        <w:pStyle w:val="2"/>
        <w:bidi w:val="0"/>
      </w:pPr>
      <w:bookmarkStart w:id="30" w:name="heading_15"/>
      <w:bookmarkStart w:id="31" w:name="_Toc12050"/>
      <w:r>
        <w:t>信息安全策略定义</w:t>
      </w:r>
      <w:bookmarkEnd w:id="30"/>
      <w:bookmarkEnd w:id="31"/>
    </w:p>
    <w:p>
      <w:pPr>
        <w:pStyle w:val="a1"/>
        <w:bidi w:val="0"/>
      </w:pPr>
      <w:r>
        <w:t>信息安全策略是单位内指导本单位及其信息系统如何管理和保护包括敏感信息在内的资产的规则、指南和惯例。</w:t>
      </w:r>
    </w:p>
    <w:p>
      <w:pPr>
        <w:pStyle w:val="a1"/>
        <w:bidi w:val="0"/>
      </w:pPr>
      <w:r>
        <w:t>信息安全策略(Information Security Policies)是组织对信息和信息处理设施进行管理，保护和分配的原则，它告诉组织成员在日常的工作中什么是可以做的，什么是必须做的，什么是不能做的，哪里是安全区，哪里是敏感区，就像交通规则之于车辆和行人，信息安全策略是有关信息安全的行为规范。</w:t>
      </w:r>
    </w:p>
    <w:p>
      <w:pPr>
        <w:pStyle w:val="2"/>
        <w:bidi w:val="0"/>
      </w:pPr>
      <w:bookmarkStart w:id="32" w:name="heading_16"/>
      <w:bookmarkStart w:id="33" w:name="_Toc12265"/>
      <w:r>
        <w:t>信息安全策略内容</w:t>
      </w:r>
      <w:bookmarkEnd w:id="32"/>
      <w:bookmarkEnd w:id="33"/>
    </w:p>
    <w:p>
      <w:pPr>
        <w:pStyle w:val="3"/>
        <w:bidi w:val="0"/>
      </w:pPr>
      <w:bookmarkStart w:id="34" w:name="heading_17"/>
      <w:bookmarkStart w:id="35" w:name="_Toc10365"/>
      <w:r>
        <w:t>物理安全策略</w:t>
      </w:r>
      <w:bookmarkEnd w:id="34"/>
      <w:bookmarkEnd w:id="35"/>
    </w:p>
    <w:p>
      <w:pPr>
        <w:pStyle w:val="a1"/>
        <w:bidi w:val="0"/>
      </w:pPr>
      <w:r>
        <w:t>旨在保护计算机服务器、数据存贮、系统终端、网络交换等硬件设备免受自然灾害、人为破坏，确保其安全可用。</w:t>
      </w:r>
    </w:p>
    <w:p>
      <w:pPr>
        <w:pStyle w:val="a1"/>
        <w:bidi w:val="0"/>
      </w:pPr>
      <w:r>
        <w:t>制定物理安全策略，要重点关注存放计算机服务器、数据存贮设备、核心网络交换设备的机房的安全防范。其选址与规划建设要遵循 GB9361 计算机场地安全要求和GB2887 计算机场地技术条件，保证恒温、恒湿，防雷、防水、防火、防鼠、防磁、防静电，加装防盗报警装置，提供良好的接地和供电环境，要为核心设备配置与其功耗相匹配的稳压及 UPS 不间断电源。</w:t>
      </w:r>
    </w:p>
    <w:p>
      <w:pPr>
        <w:pStyle w:val="3"/>
        <w:bidi w:val="0"/>
      </w:pPr>
      <w:bookmarkStart w:id="36" w:name="heading_18"/>
      <w:bookmarkStart w:id="37" w:name="_Toc13670"/>
      <w:r>
        <w:t>网络安全策略</w:t>
      </w:r>
      <w:bookmarkEnd w:id="36"/>
      <w:bookmarkEnd w:id="37"/>
    </w:p>
    <w:p>
      <w:pPr>
        <w:pStyle w:val="a1"/>
        <w:bidi w:val="0"/>
      </w:pPr>
      <w:r>
        <w:t>旨在防范和抵御网络资源可能受到的攻击，保证网络资源不被非法使用和访问，保护网内流转的数据安全。</w:t>
      </w:r>
    </w:p>
    <w:p>
      <w:pPr>
        <w:pStyle w:val="a1"/>
        <w:bidi w:val="0"/>
      </w:pPr>
      <w:r>
        <w:t>访问控制是维护网络安全、保护网络资源的重要手段，是网络安全核心策略之一。访问控制包括入网访问控制、网络授权控制、目录级安全控制、属性安全控制、网络服务器安全控制、网络监测和锁定控制、网络端口和节点的安全控制以及防火墙控制。安全检查（身份认证）、内容检查也是保护网络安全的有效措施。</w:t>
      </w:r>
    </w:p>
    <w:p>
      <w:pPr>
        <w:pStyle w:val="a1"/>
        <w:bidi w:val="0"/>
      </w:pPr>
      <w:r>
        <w:t>网络加密手段包括链路加密、端点加密和节点加密， 链路加密是保护网络节点之间的链路数据安全，端到端加密是对从源端用户到目的端用户之间传输的数据提供保护，节点加密是对源节点到目的节点之间的传输链路提供保护。另外，数字认证在一定程度上保证了数据交互信息的安全。</w:t>
      </w:r>
    </w:p>
    <w:p>
      <w:pPr>
        <w:pStyle w:val="3"/>
        <w:bidi w:val="0"/>
      </w:pPr>
      <w:bookmarkStart w:id="38" w:name="heading_19"/>
      <w:bookmarkStart w:id="39" w:name="_Toc13039"/>
      <w:r>
        <w:t>数据安全策略</w:t>
      </w:r>
      <w:bookmarkEnd w:id="38"/>
      <w:bookmarkEnd w:id="39"/>
    </w:p>
    <w:p>
      <w:pPr>
        <w:pStyle w:val="a1"/>
        <w:bidi w:val="0"/>
      </w:pPr>
      <w:r>
        <w:t>旨在防止数据被偶然的或故意的非法泄露、变更、破坏， 或是被非法识别和控制，以确保数据完整、保密、可用。数据安全包括数据的存储安全和传输安全两个方面。</w:t>
      </w:r>
    </w:p>
    <w:p>
      <w:pPr>
        <w:pStyle w:val="a1"/>
        <w:bidi w:val="0"/>
      </w:pPr>
      <w:r>
        <w:t>数据的存储安全系指数据存放状态下的安全，包括是否会被非法调用等，可借助数据异地容灾备份、密文存储、设置访问权限、身份识别、局部隔离等策略提高安全防范水平。</w:t>
      </w:r>
    </w:p>
    <w:p>
      <w:pPr>
        <w:pStyle w:val="3"/>
        <w:bidi w:val="0"/>
      </w:pPr>
      <w:bookmarkStart w:id="40" w:name="heading_20"/>
      <w:bookmarkStart w:id="41" w:name="_Toc29946"/>
      <w:r>
        <w:t>软件安全策略</w:t>
      </w:r>
      <w:bookmarkEnd w:id="40"/>
      <w:bookmarkEnd w:id="41"/>
    </w:p>
    <w:p>
      <w:pPr>
        <w:pStyle w:val="a1"/>
        <w:bidi w:val="0"/>
      </w:pPr>
      <w:r>
        <w:t>旨在防止由于软件质量缺陷或安全漏洞使信息系统被非法控制，或使之性能下降、拒绝服务、停机。软件安全策略分为系统软件安全策略和应用软件安全策略两类。</w:t>
      </w:r>
    </w:p>
    <w:p>
      <w:pPr>
        <w:pStyle w:val="a1"/>
        <w:bidi w:val="0"/>
      </w:pPr>
      <w:r>
        <w:t>对通用的应用软件，可参照前款作法，通过加强与软件提供商的沟通，及时发现、堵塞安全漏洞。对量身定做的应用软件， 可考虑优选通过质量控制体系认证、富有行业软件开发和市场推广经验的软件公司，加强软件开发质量控制，加强容错设计，安排较长时间的试运行等策略，以规避风险，提高安全防范水平。</w:t>
      </w:r>
    </w:p>
    <w:p>
      <w:pPr>
        <w:pStyle w:val="3"/>
        <w:bidi w:val="0"/>
      </w:pPr>
      <w:bookmarkStart w:id="42" w:name="heading_21"/>
      <w:bookmarkStart w:id="43" w:name="_Toc18581"/>
      <w:r>
        <w:t>系统管理策略</w:t>
      </w:r>
      <w:bookmarkEnd w:id="42"/>
      <w:bookmarkEnd w:id="43"/>
    </w:p>
    <w:p>
      <w:pPr>
        <w:pStyle w:val="a1"/>
        <w:bidi w:val="0"/>
      </w:pPr>
      <w:r>
        <w:t>旨在加强计算机信息系统运行管理，提高系统安全性、可靠性。</w:t>
      </w:r>
    </w:p>
    <w:p>
      <w:pPr>
        <w:pStyle w:val="a1"/>
        <w:bidi w:val="0"/>
      </w:pPr>
      <w:r>
        <w:t>要确保系统稳健运行，减少恶意攻击、各类故障带来的负面效应， 有必要建立行之有效的系统运行维护机制和相关制度。比如， 建立健全中心机房管理制度，信息设备操作使用规程，信息系统维护制度，网络通讯管理制度，应急响应制度等等。</w:t>
      </w:r>
    </w:p>
    <w:p>
      <w:pPr>
        <w:pStyle w:val="a1"/>
        <w:bidi w:val="0"/>
      </w:pPr>
      <w:r>
        <w:t>要根据分工，落实系统使用与运行维护工作责任制。加强对相关人员的培训和安全教育，减少因为误操作给系统安全带来的冲击。要妥善保存系统运行、维护资料， 做好相关记录，要定期组织应急演练，以备不时之需。</w:t>
      </w:r>
    </w:p>
    <w:p>
      <w:pPr>
        <w:pStyle w:val="3"/>
        <w:bidi w:val="0"/>
      </w:pPr>
      <w:bookmarkStart w:id="44" w:name="heading_22"/>
      <w:bookmarkStart w:id="45" w:name="_Toc25471"/>
      <w:r>
        <w:t>灾难恢复策略</w:t>
      </w:r>
      <w:bookmarkEnd w:id="44"/>
      <w:bookmarkEnd w:id="45"/>
    </w:p>
    <w:p>
      <w:pPr>
        <w:pStyle w:val="a1"/>
        <w:bidi w:val="0"/>
      </w:pPr>
      <w:r>
        <w:t>旨在趁着系统还在运行的时候，制定一个灾难恢复计划，将灾难带来的损失降低到最小，使系统安全得到保障的策略。</w:t>
      </w:r>
    </w:p>
    <w:p>
      <w:pPr>
        <w:pStyle w:val="a1"/>
        <w:bidi w:val="0"/>
      </w:pPr>
      <w:r>
        <w:t>主要需根据本单位及信息系统的实际情况，研究系统遇到灾害后对业务的影响，设计灾后业务切换办法，如定期备份数据，根据灾难类型，制订灾难恢复流程，建立灾难预警、触发、响应机制， 组织相关培训和练习，适时升级和维护灾难恢复计划等等。</w:t>
      </w:r>
    </w:p>
    <w:p>
      <w:pPr>
        <w:pStyle w:val="1"/>
        <w:bidi w:val="0"/>
      </w:pPr>
      <w:bookmarkStart w:id="46" w:name="heading_23"/>
      <w:bookmarkStart w:id="47" w:name="_Toc26813"/>
      <w:r>
        <w:t>信息安全管理过程描述</w:t>
      </w:r>
      <w:bookmarkEnd w:id="46"/>
      <w:bookmarkEnd w:id="47"/>
    </w:p>
    <w:p>
      <w:pPr>
        <w:pStyle w:val="2"/>
        <w:bidi w:val="0"/>
      </w:pPr>
      <w:bookmarkStart w:id="48" w:name="heading_24"/>
      <w:bookmarkStart w:id="49" w:name="_Toc20865"/>
      <w:r>
        <w:t>风险评估计划和过程</w:t>
      </w:r>
      <w:bookmarkEnd w:id="48"/>
      <w:bookmarkEnd w:id="49"/>
    </w:p>
    <w:p>
      <w:pPr>
        <w:pStyle w:val="3"/>
        <w:bidi w:val="0"/>
      </w:pPr>
      <w:bookmarkStart w:id="50" w:name="heading_25"/>
      <w:bookmarkStart w:id="51" w:name="_Toc32366"/>
      <w:r>
        <w:t>评估计划</w:t>
      </w:r>
      <w:bookmarkEnd w:id="50"/>
      <w:bookmarkEnd w:id="51"/>
    </w:p>
    <w:p>
      <w:pPr>
        <w:pStyle w:val="a1"/>
        <w:bidi w:val="0"/>
      </w:pPr>
      <w:r>
        <w:t>信息安全风险评估工作共分为 4 个阶段：即准备阶段、识别阶段、分析阶段、规划验收阶段。</w:t>
      </w:r>
    </w:p>
    <w:p>
      <w:pPr>
        <w:pStyle w:val="a1"/>
        <w:bidi w:val="0"/>
      </w:pPr>
      <w:r>
        <w:t>准备阶段：主要完成项目组织、项目实施方案确定、组织培训、项目启动的工作。</w:t>
      </w:r>
    </w:p>
    <w:p>
      <w:pPr>
        <w:pStyle w:val="a1"/>
        <w:bidi w:val="0"/>
      </w:pPr>
      <w:r>
        <w:t>识别阶段：主要完成大量的现场识别工作，主要有资产识别、威胁识别、脆弱性识别、安全措施识别。</w:t>
      </w:r>
    </w:p>
    <w:p>
      <w:pPr>
        <w:pStyle w:val="a1"/>
        <w:bidi w:val="0"/>
      </w:pPr>
      <w:r>
        <w:t>分析阶段：在识别的基础上进行大量整理并分析，得出风险评估各要素的风险状况，具体有资产影响分析、威胁分析、脆弱性分析、综合风险分析。</w:t>
      </w:r>
    </w:p>
    <w:p>
      <w:pPr>
        <w:pStyle w:val="a1"/>
        <w:bidi w:val="0"/>
      </w:pPr>
      <w:r>
        <w:t>规划验收阶段：对综合风险进行梳理分析，制定风险控制规划和改进计划，完成风险评估。</w:t>
      </w:r>
    </w:p>
    <w:p>
      <w:pPr>
        <w:pStyle w:val="3"/>
        <w:bidi w:val="0"/>
      </w:pPr>
      <w:bookmarkStart w:id="52" w:name="heading_26"/>
      <w:bookmarkStart w:id="53" w:name="_Toc4072"/>
      <w:r>
        <w:t>评估过程</w:t>
      </w:r>
      <w:bookmarkEnd w:id="52"/>
      <w:bookmarkEnd w:id="53"/>
    </w:p>
    <w:p>
      <w:pPr>
        <w:pStyle w:val="a1"/>
        <w:bidi w:val="0"/>
      </w:pPr>
      <w:r>
        <w:t>现场评估工作主要分 5 个阶段：</w:t>
      </w:r>
    </w:p>
    <w:p>
      <w:pPr>
        <w:pStyle w:val="a1"/>
        <w:bidi w:val="0"/>
      </w:pPr>
      <w:r>
        <w:t>第一阶段：网络设备资产调查和拓扑调查。获取信息系统现有网络设备资产和网络链路情况相关资料，进行现场核对，发现存在的偏差，及时和网管员沟通确认，最终根据信息资产调查的全面结果，形成网络设备资产列表和网络拓扑图。</w:t>
      </w:r>
    </w:p>
    <w:p>
      <w:pPr>
        <w:pStyle w:val="a1"/>
        <w:bidi w:val="0"/>
      </w:pPr>
      <w:r>
        <w:t>第二阶段：对信息系统内所有服务器资产进行识别，确定评估对象外的与之相关联的资产作为最终评估对象，然后根据评估的资产在业务和应用流程中的重要程序为资产进行估价。</w:t>
      </w:r>
    </w:p>
    <w:p>
      <w:pPr>
        <w:pStyle w:val="a1"/>
        <w:bidi w:val="0"/>
      </w:pPr>
      <w:r>
        <w:t>第三阶段：网络和安全设备测评和网络结构测评。根据资产调查结果和网络拓扑分析，确定本次项目网络和安全设备评估范围。依据确定的网络和安全设备测评范围，开展网络设备现场测评工作。网络和安全设备测评过程中，由网络管理人员输入相关设备密码，评估人员依据测评表的内容，进行现场核查，同时记录核查结果和操作内容，为后期网络设备安全性分析提供有利依据。</w:t>
      </w:r>
    </w:p>
    <w:p>
      <w:pPr>
        <w:pStyle w:val="a1"/>
        <w:bidi w:val="0"/>
      </w:pPr>
      <w:r>
        <w:t>第四阶段：主机系统、应用系统和存储数据备份的测评。 在确定最终评估对象的资产识别和估价完成后，根据实际的系统和应用系统确定与之相应的评测表。主机测评过程中，由系统管理人员输入相关设备密码，评估人员依据测评表的内容，进行现场核查，同时记录核查结果和操作内容，为后期主机设备安全性分析提供有利依据。</w:t>
      </w:r>
    </w:p>
    <w:p>
      <w:pPr>
        <w:pStyle w:val="a1"/>
        <w:bidi w:val="0"/>
      </w:pPr>
      <w:r>
        <w:t>第五阶段：系统漏洞扫描，主要针对网络设备、安全设备、服务器、 PC 终端的漏洞扫描，并形成漏洞扫描报告。</w:t>
      </w:r>
    </w:p>
    <w:p>
      <w:pPr>
        <w:pStyle w:val="2"/>
        <w:bidi w:val="0"/>
      </w:pPr>
      <w:bookmarkStart w:id="54" w:name="heading_28"/>
      <w:bookmarkStart w:id="55" w:name="_Toc26858"/>
      <w:r>
        <w:t>评估方法和工具</w:t>
      </w:r>
      <w:bookmarkEnd w:id="54"/>
      <w:bookmarkEnd w:id="55"/>
    </w:p>
    <w:p>
      <w:pPr>
        <w:pStyle w:val="a1"/>
        <w:bidi w:val="0"/>
      </w:pPr>
      <w:r>
        <w:t>我们主要参考</w:t>
      </w:r>
      <w:r>
        <w:rPr>
          <w:rFonts w:hint="eastAsia"/>
          <w:lang w:val="en-US" w:eastAsia="zh-CN"/>
        </w:rPr>
        <w:t>相关</w:t>
      </w:r>
      <w:r>
        <w:t>标准和指南采用最新的方法进行风险分析，表述出威胁源采用何种威胁方法，利用了系统的何种脆弱性，对哪一类资产，产生了什么样的影响，当前采取了何种安全措施进行防护，其有效性如何，描述残余风险状况，并描述采取何种对策来防范威胁，减少脆弱性。</w:t>
      </w:r>
    </w:p>
    <w:p>
      <w:pPr>
        <w:pStyle w:val="a1"/>
        <w:bidi w:val="0"/>
      </w:pPr>
      <w:r>
        <w:t>资产的评估主要是对资产进行相对估价，而其估价准则就是依赖于对其影响的分析，主要从保密性、完整性、可用性三方面的安全属性进行影响分析， 从资产的相对价值中体现了威胁的严重程度；威胁评估是对资产所受威胁发生可能性的评估；脆弱性的评估是对资产脆弱程度的评估，安全风险评估就是通过综合分析评估后的资产信息、威胁信息、脆弱性信息，最终生成安全风险信息。</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3068"/>
        <w:gridCol w:w="1320"/>
        <w:gridCol w:w="1822"/>
        <w:gridCol w:w="207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测评内容</w:t>
            </w:r>
          </w:p>
        </w:tc>
        <w:tc>
          <w:tcPr>
            <w:tcW w:w="1320" w:type="dxa"/>
            <w:tcMar>
              <w:top w:w="60" w:type="dxa"/>
              <w:left w:w="120" w:type="dxa"/>
              <w:bottom w:w="30" w:type="dxa"/>
              <w:right w:w="120" w:type="dxa"/>
            </w:tcMar>
          </w:tcPr>
          <w:p>
            <w:pPr>
              <w:pStyle w:val="a1"/>
              <w:bidi w:val="0"/>
              <w:ind w:left="0" w:firstLine="0" w:leftChars="0" w:firstLineChars="0"/>
            </w:pPr>
            <w:r>
              <w:t>测评方式</w:t>
            </w:r>
          </w:p>
        </w:tc>
        <w:tc>
          <w:tcPr>
            <w:tcW w:w="1822" w:type="dxa"/>
            <w:tcMar>
              <w:top w:w="60" w:type="dxa"/>
              <w:left w:w="120" w:type="dxa"/>
              <w:bottom w:w="30" w:type="dxa"/>
              <w:right w:w="120" w:type="dxa"/>
            </w:tcMar>
          </w:tcPr>
          <w:p>
            <w:pPr>
              <w:pStyle w:val="a1"/>
              <w:bidi w:val="0"/>
              <w:ind w:left="0" w:firstLine="0" w:leftChars="0" w:firstLineChars="0"/>
            </w:pPr>
            <w:r>
              <w:t>测评方式</w:t>
            </w:r>
          </w:p>
        </w:tc>
        <w:tc>
          <w:tcPr>
            <w:tcW w:w="2070" w:type="dxa"/>
            <w:tcMar>
              <w:top w:w="60" w:type="dxa"/>
              <w:left w:w="120" w:type="dxa"/>
              <w:bottom w:w="30" w:type="dxa"/>
              <w:right w:w="120" w:type="dxa"/>
            </w:tcMar>
          </w:tcPr>
          <w:p>
            <w:pPr>
              <w:pStyle w:val="a1"/>
              <w:bidi w:val="0"/>
              <w:ind w:left="0" w:firstLine="0" w:leftChars="0" w:firstLineChars="0"/>
            </w:pPr>
            <w:r>
              <w:t>测评方式</w:t>
            </w:r>
          </w:p>
        </w:tc>
      </w:tr>
      <w:tr>
        <w:tblPrEx>
          <w:tblW w:w="0" w:type="auto"/>
          <w:tblInd w:w="0" w:type="dxa"/>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管理测评</w:t>
            </w:r>
          </w:p>
        </w:tc>
        <w:tc>
          <w:tcPr>
            <w:tcW w:w="1320" w:type="dxa"/>
            <w:tcMar>
              <w:top w:w="60" w:type="dxa"/>
              <w:left w:w="120" w:type="dxa"/>
              <w:bottom w:w="30" w:type="dxa"/>
              <w:right w:w="120" w:type="dxa"/>
            </w:tcMar>
          </w:tcPr>
          <w:p>
            <w:pPr>
              <w:pStyle w:val="a1"/>
              <w:bidi w:val="0"/>
              <w:ind w:left="0" w:firstLine="0" w:leftChars="0" w:firstLineChars="0"/>
            </w:pPr>
            <w:r>
              <w:t>☐ 访谈</w:t>
            </w:r>
          </w:p>
        </w:tc>
        <w:tc>
          <w:tcPr>
            <w:tcW w:w="1822" w:type="dxa"/>
            <w:tcMar>
              <w:top w:w="60" w:type="dxa"/>
              <w:left w:w="120" w:type="dxa"/>
              <w:bottom w:w="30" w:type="dxa"/>
              <w:right w:w="120" w:type="dxa"/>
            </w:tcMar>
          </w:tcPr>
          <w:p>
            <w:pPr>
              <w:pStyle w:val="a1"/>
              <w:bidi w:val="0"/>
              <w:ind w:left="0" w:firstLine="0" w:leftChars="0" w:firstLineChars="0"/>
            </w:pPr>
            <w:r>
              <w:t>☐ 文档审核</w:t>
            </w:r>
          </w:p>
        </w:tc>
        <w:tc>
          <w:tcPr>
            <w:tcW w:w="2070" w:type="dxa"/>
            <w:tcMar>
              <w:top w:w="60" w:type="dxa"/>
              <w:left w:w="120" w:type="dxa"/>
              <w:bottom w:w="30" w:type="dxa"/>
              <w:right w:w="120" w:type="dxa"/>
            </w:tcMar>
          </w:tcPr>
          <w:p>
            <w:pPr>
              <w:pStyle w:val="a1"/>
              <w:bidi w:val="0"/>
              <w:ind w:left="0" w:firstLine="0" w:leftChars="0" w:firstLineChars="0"/>
            </w:pPr>
            <w:r>
              <w:t>☐ 观察现场</w:t>
            </w:r>
          </w:p>
        </w:tc>
      </w:tr>
      <w:tr>
        <w:tblPrEx>
          <w:tblW w:w="0" w:type="auto"/>
          <w:tblInd w:w="0" w:type="dxa"/>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物理测评</w:t>
            </w:r>
          </w:p>
        </w:tc>
        <w:tc>
          <w:tcPr>
            <w:tcW w:w="1320" w:type="dxa"/>
            <w:tcMar>
              <w:top w:w="60" w:type="dxa"/>
              <w:left w:w="120" w:type="dxa"/>
              <w:bottom w:w="30" w:type="dxa"/>
              <w:right w:w="120" w:type="dxa"/>
            </w:tcMar>
          </w:tcPr>
          <w:p>
            <w:pPr>
              <w:pStyle w:val="a1"/>
              <w:bidi w:val="0"/>
              <w:ind w:left="0" w:firstLine="0" w:leftChars="0" w:firstLineChars="0"/>
            </w:pPr>
            <w:r>
              <w:t>☐ 访谈</w:t>
            </w:r>
          </w:p>
        </w:tc>
        <w:tc>
          <w:tcPr>
            <w:tcW w:w="1822" w:type="dxa"/>
            <w:tcMar>
              <w:top w:w="60" w:type="dxa"/>
              <w:left w:w="120" w:type="dxa"/>
              <w:bottom w:w="30" w:type="dxa"/>
              <w:right w:w="120" w:type="dxa"/>
            </w:tcMar>
          </w:tcPr>
          <w:p>
            <w:pPr>
              <w:pStyle w:val="a1"/>
              <w:bidi w:val="0"/>
              <w:ind w:left="0" w:firstLine="0" w:leftChars="0" w:firstLineChars="0"/>
            </w:pPr>
            <w:r>
              <w:t>☐ 文档审核</w:t>
            </w:r>
          </w:p>
        </w:tc>
        <w:tc>
          <w:tcPr>
            <w:tcW w:w="2070" w:type="dxa"/>
            <w:tcMar>
              <w:top w:w="60" w:type="dxa"/>
              <w:left w:w="120" w:type="dxa"/>
              <w:bottom w:w="30" w:type="dxa"/>
              <w:right w:w="120" w:type="dxa"/>
            </w:tcMar>
          </w:tcPr>
          <w:p>
            <w:pPr>
              <w:pStyle w:val="a1"/>
              <w:bidi w:val="0"/>
              <w:ind w:left="0" w:firstLine="0" w:leftChars="0" w:firstLineChars="0"/>
            </w:pPr>
            <w:r>
              <w:t>☐ 观察现场</w:t>
            </w:r>
          </w:p>
        </w:tc>
      </w:tr>
      <w:tr>
        <w:tblPrEx>
          <w:tblW w:w="0" w:type="auto"/>
          <w:tblInd w:w="0" w:type="dxa"/>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网络状况测评</w:t>
            </w:r>
          </w:p>
        </w:tc>
        <w:tc>
          <w:tcPr>
            <w:tcW w:w="1320" w:type="dxa"/>
            <w:tcMar>
              <w:top w:w="60" w:type="dxa"/>
              <w:left w:w="120" w:type="dxa"/>
              <w:bottom w:w="30" w:type="dxa"/>
              <w:right w:w="120" w:type="dxa"/>
            </w:tcMar>
          </w:tcPr>
          <w:p>
            <w:pPr>
              <w:pStyle w:val="a1"/>
              <w:bidi w:val="0"/>
              <w:ind w:left="0" w:firstLine="0" w:leftChars="0" w:firstLineChars="0"/>
            </w:pPr>
            <w:r>
              <w:t>☐ 访谈</w:t>
            </w:r>
          </w:p>
        </w:tc>
        <w:tc>
          <w:tcPr>
            <w:tcW w:w="1822" w:type="dxa"/>
            <w:tcMar>
              <w:top w:w="60" w:type="dxa"/>
              <w:left w:w="120" w:type="dxa"/>
              <w:bottom w:w="30" w:type="dxa"/>
              <w:right w:w="120" w:type="dxa"/>
            </w:tcMar>
          </w:tcPr>
          <w:p>
            <w:pPr>
              <w:pStyle w:val="a1"/>
              <w:bidi w:val="0"/>
              <w:ind w:left="0" w:firstLine="0" w:leftChars="0" w:firstLineChars="0"/>
            </w:pPr>
            <w:r>
              <w:t>☐ 文档审核</w:t>
            </w:r>
          </w:p>
        </w:tc>
        <w:tc>
          <w:tcPr>
            <w:tcW w:w="2070" w:type="dxa"/>
            <w:tcMar>
              <w:top w:w="60" w:type="dxa"/>
              <w:left w:w="120" w:type="dxa"/>
              <w:bottom w:w="30" w:type="dxa"/>
              <w:right w:w="120" w:type="dxa"/>
            </w:tcMar>
          </w:tcPr>
          <w:p>
            <w:pPr>
              <w:pStyle w:val="a1"/>
              <w:bidi w:val="0"/>
              <w:ind w:left="0" w:firstLine="0" w:leftChars="0" w:firstLineChars="0"/>
            </w:pPr>
            <w:r>
              <w:t>☐ 验证</w:t>
            </w:r>
          </w:p>
        </w:tc>
      </w:tr>
      <w:tr>
        <w:tblPrEx>
          <w:tblW w:w="0" w:type="auto"/>
          <w:tblInd w:w="0" w:type="dxa"/>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网络设备测评</w:t>
            </w:r>
          </w:p>
        </w:tc>
        <w:tc>
          <w:tcPr>
            <w:tcW w:w="1320" w:type="dxa"/>
            <w:tcMar>
              <w:top w:w="60" w:type="dxa"/>
              <w:left w:w="120" w:type="dxa"/>
              <w:bottom w:w="30" w:type="dxa"/>
              <w:right w:w="120" w:type="dxa"/>
            </w:tcMar>
          </w:tcPr>
          <w:p>
            <w:pPr>
              <w:pStyle w:val="a1"/>
              <w:bidi w:val="0"/>
              <w:ind w:left="0" w:firstLine="0" w:leftChars="0" w:firstLineChars="0"/>
            </w:pPr>
            <w:r>
              <w:t>☐ 验证</w:t>
            </w:r>
          </w:p>
        </w:tc>
        <w:tc>
          <w:tcPr>
            <w:tcW w:w="1822" w:type="dxa"/>
            <w:tcMar>
              <w:top w:w="60" w:type="dxa"/>
              <w:left w:w="120" w:type="dxa"/>
              <w:bottom w:w="30" w:type="dxa"/>
              <w:right w:w="120" w:type="dxa"/>
            </w:tcMar>
          </w:tcPr>
          <w:p>
            <w:pPr>
              <w:pStyle w:val="a1"/>
              <w:bidi w:val="0"/>
              <w:ind w:left="0" w:firstLine="0" w:leftChars="0" w:firstLineChars="0"/>
            </w:pPr>
            <w:r>
              <w:t>☐ 文档审核</w:t>
            </w:r>
          </w:p>
        </w:tc>
        <w:tc>
          <w:tcPr>
            <w:tcW w:w="2070" w:type="dxa"/>
            <w:tcMar>
              <w:top w:w="60" w:type="dxa"/>
              <w:left w:w="120" w:type="dxa"/>
              <w:bottom w:w="30" w:type="dxa"/>
              <w:right w:w="120" w:type="dxa"/>
            </w:tcMar>
          </w:tcPr>
          <w:p>
            <w:pPr>
              <w:pStyle w:val="a1"/>
              <w:bidi w:val="0"/>
              <w:ind w:left="0" w:firstLine="0" w:leftChars="0" w:firstLineChars="0"/>
            </w:pPr>
            <w:r>
              <w:t>☐ 漏洞扫描</w:t>
            </w:r>
          </w:p>
        </w:tc>
      </w:tr>
      <w:tr>
        <w:tblPrEx>
          <w:tblW w:w="0" w:type="auto"/>
          <w:tblInd w:w="0" w:type="dxa"/>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主机设备测评</w:t>
            </w:r>
          </w:p>
        </w:tc>
        <w:tc>
          <w:tcPr>
            <w:tcW w:w="1320" w:type="dxa"/>
            <w:tcMar>
              <w:top w:w="60" w:type="dxa"/>
              <w:left w:w="120" w:type="dxa"/>
              <w:bottom w:w="30" w:type="dxa"/>
              <w:right w:w="120" w:type="dxa"/>
            </w:tcMar>
          </w:tcPr>
          <w:p>
            <w:pPr>
              <w:pStyle w:val="a1"/>
              <w:bidi w:val="0"/>
              <w:ind w:left="0" w:firstLine="0" w:leftChars="0" w:firstLineChars="0"/>
            </w:pPr>
            <w:r>
              <w:t>☐ 验证</w:t>
            </w:r>
          </w:p>
        </w:tc>
        <w:tc>
          <w:tcPr>
            <w:tcW w:w="1822" w:type="dxa"/>
            <w:tcMar>
              <w:top w:w="60" w:type="dxa"/>
              <w:left w:w="120" w:type="dxa"/>
              <w:bottom w:w="30" w:type="dxa"/>
              <w:right w:w="120" w:type="dxa"/>
            </w:tcMar>
          </w:tcPr>
          <w:p>
            <w:pPr>
              <w:pStyle w:val="a1"/>
              <w:bidi w:val="0"/>
              <w:ind w:left="0" w:firstLine="0" w:leftChars="0" w:firstLineChars="0"/>
            </w:pPr>
            <w:r>
              <w:t>☐ 文档审核</w:t>
            </w:r>
          </w:p>
        </w:tc>
        <w:tc>
          <w:tcPr>
            <w:tcW w:w="2070" w:type="dxa"/>
            <w:tcMar>
              <w:top w:w="60" w:type="dxa"/>
              <w:left w:w="120" w:type="dxa"/>
              <w:bottom w:w="30" w:type="dxa"/>
              <w:right w:w="120" w:type="dxa"/>
            </w:tcMar>
          </w:tcPr>
          <w:p>
            <w:pPr>
              <w:pStyle w:val="a1"/>
              <w:bidi w:val="0"/>
              <w:ind w:left="0" w:firstLine="0" w:leftChars="0" w:firstLineChars="0"/>
            </w:pPr>
            <w:r>
              <w:t>☐ 漏洞扫描</w:t>
            </w:r>
          </w:p>
        </w:tc>
      </w:tr>
      <w:tr>
        <w:tblPrEx>
          <w:tblW w:w="0" w:type="auto"/>
          <w:tblInd w:w="0" w:type="dxa"/>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数据安全及备份恢复测评</w:t>
            </w:r>
          </w:p>
        </w:tc>
        <w:tc>
          <w:tcPr>
            <w:tcW w:w="1320" w:type="dxa"/>
            <w:tcMar>
              <w:top w:w="60" w:type="dxa"/>
              <w:left w:w="120" w:type="dxa"/>
              <w:bottom w:w="30" w:type="dxa"/>
              <w:right w:w="120" w:type="dxa"/>
            </w:tcMar>
          </w:tcPr>
          <w:p>
            <w:pPr>
              <w:pStyle w:val="a1"/>
              <w:bidi w:val="0"/>
              <w:ind w:left="0" w:firstLine="0" w:leftChars="0" w:firstLineChars="0"/>
            </w:pPr>
            <w:r>
              <w:t>☐ 访谈</w:t>
            </w:r>
          </w:p>
        </w:tc>
        <w:tc>
          <w:tcPr>
            <w:tcW w:w="1822" w:type="dxa"/>
            <w:tcMar>
              <w:top w:w="60" w:type="dxa"/>
              <w:left w:w="120" w:type="dxa"/>
              <w:bottom w:w="30" w:type="dxa"/>
              <w:right w:w="120" w:type="dxa"/>
            </w:tcMar>
          </w:tcPr>
          <w:p>
            <w:pPr>
              <w:pStyle w:val="a1"/>
              <w:bidi w:val="0"/>
            </w:pPr>
            <w:r>
              <w:t>☐ 验证</w:t>
            </w:r>
          </w:p>
        </w:tc>
        <w:tc>
          <w:tcPr>
            <w:tcW w:w="2070" w:type="dxa"/>
            <w:tcMar>
              <w:top w:w="60" w:type="dxa"/>
              <w:left w:w="120" w:type="dxa"/>
              <w:bottom w:w="30" w:type="dxa"/>
              <w:right w:w="120" w:type="dxa"/>
            </w:tcMar>
          </w:tcPr>
          <w:p>
            <w:pPr>
              <w:pStyle w:val="a1"/>
              <w:bidi w:val="0"/>
              <w:ind w:left="0" w:firstLine="0" w:leftChars="0" w:firstLineChars="0"/>
            </w:pPr>
            <w:r>
              <w:t>☐ 文档审核</w:t>
            </w:r>
          </w:p>
        </w:tc>
      </w:tr>
      <w:tr>
        <w:tblPrEx>
          <w:tblW w:w="0" w:type="auto"/>
          <w:tblInd w:w="0" w:type="dxa"/>
          <w:tblLayout w:type="fixed"/>
          <w:tblCellMar>
            <w:top w:w="0" w:type="dxa"/>
            <w:left w:w="10" w:type="dxa"/>
            <w:bottom w:w="0" w:type="dxa"/>
            <w:right w:w="10" w:type="dxa"/>
          </w:tblCellMar>
        </w:tblPrEx>
        <w:tc>
          <w:tcPr>
            <w:tcW w:w="3068" w:type="dxa"/>
            <w:tcMar>
              <w:top w:w="60" w:type="dxa"/>
              <w:left w:w="120" w:type="dxa"/>
              <w:bottom w:w="30" w:type="dxa"/>
              <w:right w:w="120" w:type="dxa"/>
            </w:tcMar>
          </w:tcPr>
          <w:p>
            <w:pPr>
              <w:pStyle w:val="a1"/>
              <w:bidi w:val="0"/>
              <w:ind w:left="0" w:right="0" w:firstLine="0" w:leftChars="0" w:rightChars="0" w:firstLineChars="0"/>
              <w:jc w:val="center"/>
            </w:pPr>
            <w:r>
              <w:t>应用系统测评</w:t>
            </w:r>
          </w:p>
        </w:tc>
        <w:tc>
          <w:tcPr>
            <w:tcW w:w="1320" w:type="dxa"/>
            <w:tcMar>
              <w:top w:w="60" w:type="dxa"/>
              <w:left w:w="120" w:type="dxa"/>
              <w:bottom w:w="30" w:type="dxa"/>
              <w:right w:w="120" w:type="dxa"/>
            </w:tcMar>
          </w:tcPr>
          <w:p>
            <w:pPr>
              <w:pStyle w:val="a1"/>
              <w:bidi w:val="0"/>
              <w:ind w:left="0" w:firstLine="0" w:leftChars="0" w:firstLineChars="0"/>
            </w:pPr>
            <w:r>
              <w:t>☐ 访谈</w:t>
            </w:r>
          </w:p>
        </w:tc>
        <w:tc>
          <w:tcPr>
            <w:tcW w:w="1822" w:type="dxa"/>
            <w:tcMar>
              <w:top w:w="60" w:type="dxa"/>
              <w:left w:w="120" w:type="dxa"/>
              <w:bottom w:w="30" w:type="dxa"/>
              <w:right w:w="120" w:type="dxa"/>
            </w:tcMar>
          </w:tcPr>
          <w:p>
            <w:pPr>
              <w:pStyle w:val="a1"/>
              <w:bidi w:val="0"/>
            </w:pPr>
            <w:r>
              <w:t>☐ 验证</w:t>
            </w:r>
          </w:p>
        </w:tc>
        <w:tc>
          <w:tcPr>
            <w:tcW w:w="2070" w:type="dxa"/>
            <w:tcMar>
              <w:top w:w="60" w:type="dxa"/>
              <w:left w:w="120" w:type="dxa"/>
              <w:bottom w:w="30" w:type="dxa"/>
              <w:right w:w="120" w:type="dxa"/>
            </w:tcMar>
          </w:tcPr>
          <w:p>
            <w:pPr>
              <w:pStyle w:val="a1"/>
              <w:bidi w:val="0"/>
              <w:ind w:left="0" w:firstLine="0" w:leftChars="0" w:firstLineChars="0"/>
            </w:pPr>
            <w:r>
              <w:t>☐ 文档审核</w:t>
            </w:r>
          </w:p>
        </w:tc>
      </w:tr>
    </w:tbl>
    <w:p>
      <w:pPr>
        <w:pStyle w:val="a1"/>
        <w:bidi w:val="0"/>
      </w:pPr>
      <w:r>
        <w:t>1.访谈：通过与服务事业部的相关人员进行交谈和问询，了解信息系统技术和管理方面的一些基本信息，并对一些测评内容进行确认；</w:t>
      </w:r>
    </w:p>
    <w:p>
      <w:pPr>
        <w:pStyle w:val="a1"/>
        <w:bidi w:val="0"/>
      </w:pPr>
      <w:r>
        <w:t>2．文档审核：审核服务事业部网管员提交的有关信息系统安全的各个方面的文档，如：安全管理制度和文件、安全管理的执行过程文档、系统设计方案、网络设备的技术资料、系统和产品的实际配置说明、系统的各种运行记录文档、机房建设相关资料等等。通过对这些文档的审核与分析确认测评的相关内容是否达到了等级的要求；</w:t>
      </w:r>
    </w:p>
    <w:p>
      <w:pPr>
        <w:pStyle w:val="a1"/>
        <w:bidi w:val="0"/>
      </w:pPr>
      <w:r>
        <w:t>3. 验证：主要是对一些需要上机进行确认的信息进行核实，以及对某些面谈和文档审核的内容进行核实；</w:t>
      </w:r>
    </w:p>
    <w:p>
      <w:pPr>
        <w:pStyle w:val="2"/>
        <w:bidi w:val="0"/>
      </w:pPr>
      <w:bookmarkStart w:id="56" w:name="heading_29"/>
      <w:bookmarkStart w:id="57" w:name="_Toc29441"/>
      <w:r>
        <w:t>评估内容</w:t>
      </w:r>
      <w:bookmarkEnd w:id="56"/>
      <w:bookmarkEnd w:id="57"/>
    </w:p>
    <w:p>
      <w:pPr>
        <w:pStyle w:val="a1"/>
        <w:bidi w:val="0"/>
      </w:pPr>
      <w:r>
        <w:t>评估内容主要分为安全技术测评和安全管理测评，其中安全技术测评主要是针对系统所处的物理安全、网络安全、主机系统安全、应用安全、数据安全。管理测评主要是针对管理机构、安全管理制度、人员、系统建设、日常运维管理。</w:t>
      </w:r>
    </w:p>
    <w:p>
      <w:pPr>
        <w:pStyle w:val="2"/>
        <w:bidi w:val="0"/>
      </w:pPr>
      <w:bookmarkStart w:id="58" w:name="heading_30"/>
      <w:bookmarkStart w:id="59" w:name="_Toc7442"/>
      <w:r>
        <w:t>资产的评估和赋值</w:t>
      </w:r>
      <w:bookmarkEnd w:id="58"/>
      <w:bookmarkEnd w:id="59"/>
    </w:p>
    <w:p>
      <w:pPr>
        <w:pStyle w:val="a1"/>
        <w:bidi w:val="0"/>
      </w:pPr>
      <w:r>
        <w:t>资产是风险评估的评估对象。在一个全面的风险评估中，风险的所有元素都以资产为中心，威胁、脆弱性以及风险都是针对资产而客观存在的。威胁利用资产自身的脆弱性使得安全事件的发生成为可能，从而形成了风险。因此， 资产的评估是风险评估的一个重要的步骤，它被确定和分析的准确性将影响着后面所有因素的评估。</w:t>
      </w:r>
    </w:p>
    <w:p>
      <w:pPr>
        <w:pStyle w:val="a1"/>
        <w:bidi w:val="0"/>
      </w:pPr>
      <w:r>
        <w:t>资产主要包括公司的网络设备、网络安全设备、终端、服务器、数据库、业务软件、数据等信息资产。</w:t>
      </w:r>
    </w:p>
    <w:p>
      <w:pPr>
        <w:pStyle w:val="a1"/>
        <w:bidi w:val="0"/>
      </w:pPr>
      <w:r>
        <w:t>资产赋值的过程也就是对资产在机密性、完整性和可用性上的达成程度进行分析，并在此基础上得出综合结果的过程。</w:t>
      </w:r>
    </w:p>
    <w:p>
      <w:pPr>
        <w:pStyle w:val="a1"/>
        <w:bidi w:val="0"/>
      </w:pPr>
      <w:r>
        <w:t>首先对机密性赋值，根据资产在机密性上的不同要求，将其分为五个不同的等级，分别对应资产在机密性上应达成的不同程度或者机密性缺失时对整个组织的影响。机密性赋值标准如下表所示：</w:t>
      </w:r>
    </w:p>
    <w:tbl>
      <w:tblPr>
        <w:tblStyle w:val="TableNormal"/>
        <w:tblW w:w="0" w:type="auto"/>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top w:w="0" w:type="dxa"/>
          <w:left w:w="10" w:type="dxa"/>
          <w:bottom w:w="0" w:type="dxa"/>
          <w:right w:w="10" w:type="dxa"/>
        </w:tblCellMar>
      </w:tblPr>
      <w:tblGrid>
        <w:gridCol w:w="768"/>
        <w:gridCol w:w="890"/>
        <w:gridCol w:w="6622"/>
      </w:tblGrid>
      <w:tr>
        <w:tblPrEx>
          <w:tblW w:w="0" w:type="auto"/>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top w:w="0" w:type="dxa"/>
            <w:left w:w="10" w:type="dxa"/>
            <w:bottom w:w="0" w:type="dxa"/>
            <w:right w:w="10" w:type="dxa"/>
          </w:tblCellMar>
        </w:tblPrEx>
        <w:tc>
          <w:tcPr>
            <w:tcW w:w="76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赋值</w:t>
            </w:r>
          </w:p>
        </w:tc>
        <w:tc>
          <w:tcPr>
            <w:tcW w:w="8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标识</w:t>
            </w:r>
          </w:p>
        </w:tc>
        <w:tc>
          <w:tcPr>
            <w:tcW w:w="662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pPr>
            <w:r>
              <w:t>定义</w:t>
            </w:r>
          </w:p>
        </w:tc>
      </w:tr>
      <w:tr>
        <w:tblPrEx>
          <w:tblW w:w="0" w:type="auto"/>
          <w:tblInd w:w="0" w:type="dxa"/>
          <w:tblLayout w:type="fixed"/>
          <w:tblCellMar>
            <w:top w:w="0" w:type="dxa"/>
            <w:left w:w="10" w:type="dxa"/>
            <w:bottom w:w="0" w:type="dxa"/>
            <w:right w:w="10" w:type="dxa"/>
          </w:tblCellMar>
        </w:tblPrEx>
        <w:tc>
          <w:tcPr>
            <w:tcW w:w="76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5</w:t>
            </w:r>
          </w:p>
        </w:tc>
        <w:tc>
          <w:tcPr>
            <w:tcW w:w="8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很高</w:t>
            </w:r>
          </w:p>
        </w:tc>
        <w:tc>
          <w:tcPr>
            <w:tcW w:w="662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包含组织最重要的秘密，关系未来发展的前途命运，对组织根本利益有着决定性的影响，如果泄露会造成灾难性的损害</w:t>
            </w:r>
          </w:p>
        </w:tc>
      </w:tr>
      <w:tr>
        <w:tblPrEx>
          <w:tblW w:w="0" w:type="auto"/>
          <w:tblInd w:w="0" w:type="dxa"/>
          <w:tblLayout w:type="fixed"/>
          <w:tblCellMar>
            <w:top w:w="0" w:type="dxa"/>
            <w:left w:w="10" w:type="dxa"/>
            <w:bottom w:w="0" w:type="dxa"/>
            <w:right w:w="10" w:type="dxa"/>
          </w:tblCellMar>
        </w:tblPrEx>
        <w:tc>
          <w:tcPr>
            <w:tcW w:w="76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4</w:t>
            </w:r>
          </w:p>
        </w:tc>
        <w:tc>
          <w:tcPr>
            <w:tcW w:w="8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高</w:t>
            </w:r>
          </w:p>
        </w:tc>
        <w:tc>
          <w:tcPr>
            <w:tcW w:w="662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包含组织的重要秘密，其泄露会使组织的安全和利益遭受严重损害</w:t>
            </w:r>
          </w:p>
        </w:tc>
      </w:tr>
      <w:tr>
        <w:tblPrEx>
          <w:tblW w:w="0" w:type="auto"/>
          <w:tblInd w:w="0" w:type="dxa"/>
          <w:tblLayout w:type="fixed"/>
          <w:tblCellMar>
            <w:top w:w="0" w:type="dxa"/>
            <w:left w:w="10" w:type="dxa"/>
            <w:bottom w:w="0" w:type="dxa"/>
            <w:right w:w="10" w:type="dxa"/>
          </w:tblCellMar>
        </w:tblPrEx>
        <w:tc>
          <w:tcPr>
            <w:tcW w:w="76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3</w:t>
            </w:r>
          </w:p>
        </w:tc>
        <w:tc>
          <w:tcPr>
            <w:tcW w:w="8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中等</w:t>
            </w:r>
          </w:p>
        </w:tc>
        <w:tc>
          <w:tcPr>
            <w:tcW w:w="662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组织的一般性秘密，其泄露会使组织的安全和利益受到损害</w:t>
            </w:r>
          </w:p>
        </w:tc>
      </w:tr>
      <w:tr>
        <w:tblPrEx>
          <w:tblW w:w="0" w:type="auto"/>
          <w:tblInd w:w="0" w:type="dxa"/>
          <w:tblLayout w:type="fixed"/>
          <w:tblCellMar>
            <w:top w:w="0" w:type="dxa"/>
            <w:left w:w="10" w:type="dxa"/>
            <w:bottom w:w="0" w:type="dxa"/>
            <w:right w:w="10" w:type="dxa"/>
          </w:tblCellMar>
        </w:tblPrEx>
        <w:tc>
          <w:tcPr>
            <w:tcW w:w="76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2</w:t>
            </w:r>
          </w:p>
        </w:tc>
        <w:tc>
          <w:tcPr>
            <w:tcW w:w="8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低</w:t>
            </w:r>
          </w:p>
        </w:tc>
        <w:tc>
          <w:tcPr>
            <w:tcW w:w="662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仅能在组织内部或在组织某一部门内部公开的信息，向外扩散有可能对组织的利益造成轻微损害</w:t>
            </w:r>
          </w:p>
        </w:tc>
      </w:tr>
      <w:tr>
        <w:tblPrEx>
          <w:tblW w:w="0" w:type="auto"/>
          <w:tblInd w:w="0" w:type="dxa"/>
          <w:tblLayout w:type="fixed"/>
          <w:tblCellMar>
            <w:top w:w="0" w:type="dxa"/>
            <w:left w:w="10" w:type="dxa"/>
            <w:bottom w:w="0" w:type="dxa"/>
            <w:right w:w="10" w:type="dxa"/>
          </w:tblCellMar>
        </w:tblPrEx>
        <w:tc>
          <w:tcPr>
            <w:tcW w:w="76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1</w:t>
            </w:r>
          </w:p>
        </w:tc>
        <w:tc>
          <w:tcPr>
            <w:tcW w:w="8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很低</w:t>
            </w:r>
          </w:p>
        </w:tc>
        <w:tc>
          <w:tcPr>
            <w:tcW w:w="662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可对社会公开的信息，公用的信息处理设备和系统资源等</w:t>
            </w:r>
          </w:p>
        </w:tc>
      </w:tr>
    </w:tbl>
    <w:p>
      <w:pPr>
        <w:pStyle w:val="a1"/>
        <w:bidi w:val="0"/>
      </w:pPr>
      <w:r>
        <w:t>然后对完整性赋值，根据资产在完整性上的不同要求，将其分为五个不同的等级，分别对应资产在完整性上缺失时对整个组织的影响。完整性赋值标准如下表所示：</w:t>
      </w:r>
    </w:p>
    <w:tbl>
      <w:tblPr>
        <w:tblStyle w:val="TableNormal"/>
        <w:tblW w:w="0" w:type="auto"/>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top w:w="0" w:type="dxa"/>
          <w:left w:w="10" w:type="dxa"/>
          <w:bottom w:w="0" w:type="dxa"/>
          <w:right w:w="10" w:type="dxa"/>
        </w:tblCellMar>
      </w:tblPr>
      <w:tblGrid>
        <w:gridCol w:w="798"/>
        <w:gridCol w:w="790"/>
        <w:gridCol w:w="6692"/>
      </w:tblGrid>
      <w:tr>
        <w:tblPrEx>
          <w:tblW w:w="0" w:type="auto"/>
          <w:tblInd w:w="0"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top w:w="0" w:type="dxa"/>
            <w:left w:w="10" w:type="dxa"/>
            <w:bottom w:w="0" w:type="dxa"/>
            <w:right w:w="10" w:type="dxa"/>
          </w:tblCellMar>
        </w:tblPrEx>
        <w:tc>
          <w:tcPr>
            <w:tcW w:w="79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赋值</w:t>
            </w:r>
          </w:p>
        </w:tc>
        <w:tc>
          <w:tcPr>
            <w:tcW w:w="7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标识</w:t>
            </w:r>
          </w:p>
        </w:tc>
        <w:tc>
          <w:tcPr>
            <w:tcW w:w="669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pPr>
            <w:r>
              <w:t>定义</w:t>
            </w:r>
          </w:p>
        </w:tc>
      </w:tr>
      <w:tr>
        <w:tblPrEx>
          <w:tblW w:w="0" w:type="auto"/>
          <w:tblInd w:w="0" w:type="dxa"/>
          <w:tblLayout w:type="fixed"/>
          <w:tblCellMar>
            <w:top w:w="0" w:type="dxa"/>
            <w:left w:w="10" w:type="dxa"/>
            <w:bottom w:w="0" w:type="dxa"/>
            <w:right w:w="10" w:type="dxa"/>
          </w:tblCellMar>
        </w:tblPrEx>
        <w:tc>
          <w:tcPr>
            <w:tcW w:w="79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5</w:t>
            </w:r>
          </w:p>
        </w:tc>
        <w:tc>
          <w:tcPr>
            <w:tcW w:w="7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很高</w:t>
            </w:r>
          </w:p>
        </w:tc>
        <w:tc>
          <w:tcPr>
            <w:tcW w:w="669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完整性价值非常关键，未经授权的修改或破坏会对组织造成重大的或无法接受的影响，对业务冲击重大，并可能造成严重的业务中断，难以弥补。</w:t>
            </w:r>
          </w:p>
        </w:tc>
      </w:tr>
      <w:tr>
        <w:tblPrEx>
          <w:tblW w:w="0" w:type="auto"/>
          <w:tblInd w:w="0" w:type="dxa"/>
          <w:tblLayout w:type="fixed"/>
          <w:tblCellMar>
            <w:top w:w="0" w:type="dxa"/>
            <w:left w:w="10" w:type="dxa"/>
            <w:bottom w:w="0" w:type="dxa"/>
            <w:right w:w="10" w:type="dxa"/>
          </w:tblCellMar>
        </w:tblPrEx>
        <w:tc>
          <w:tcPr>
            <w:tcW w:w="79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4</w:t>
            </w:r>
          </w:p>
        </w:tc>
        <w:tc>
          <w:tcPr>
            <w:tcW w:w="7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高</w:t>
            </w:r>
          </w:p>
        </w:tc>
        <w:tc>
          <w:tcPr>
            <w:tcW w:w="669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完整性价值较高，未经授权的修改或破坏会对组织造成重大影响，对业务冲击严重，较难弥补。</w:t>
            </w:r>
          </w:p>
        </w:tc>
      </w:tr>
      <w:tr>
        <w:tblPrEx>
          <w:tblW w:w="0" w:type="auto"/>
          <w:tblInd w:w="0" w:type="dxa"/>
          <w:tblLayout w:type="fixed"/>
          <w:tblCellMar>
            <w:top w:w="0" w:type="dxa"/>
            <w:left w:w="10" w:type="dxa"/>
            <w:bottom w:w="0" w:type="dxa"/>
            <w:right w:w="10" w:type="dxa"/>
          </w:tblCellMar>
        </w:tblPrEx>
        <w:tc>
          <w:tcPr>
            <w:tcW w:w="79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3</w:t>
            </w:r>
          </w:p>
        </w:tc>
        <w:tc>
          <w:tcPr>
            <w:tcW w:w="7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中等</w:t>
            </w:r>
          </w:p>
        </w:tc>
        <w:tc>
          <w:tcPr>
            <w:tcW w:w="669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完整性价值中等，未经授权的修改或破坏会对组织造成影响，对业务冲击明显，但可以弥补。</w:t>
            </w:r>
          </w:p>
        </w:tc>
      </w:tr>
      <w:tr>
        <w:tblPrEx>
          <w:tblW w:w="0" w:type="auto"/>
          <w:tblInd w:w="0" w:type="dxa"/>
          <w:tblLayout w:type="fixed"/>
          <w:tblCellMar>
            <w:top w:w="0" w:type="dxa"/>
            <w:left w:w="10" w:type="dxa"/>
            <w:bottom w:w="0" w:type="dxa"/>
            <w:right w:w="10" w:type="dxa"/>
          </w:tblCellMar>
        </w:tblPrEx>
        <w:tc>
          <w:tcPr>
            <w:tcW w:w="79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2</w:t>
            </w:r>
          </w:p>
        </w:tc>
        <w:tc>
          <w:tcPr>
            <w:tcW w:w="7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低</w:t>
            </w:r>
          </w:p>
        </w:tc>
        <w:tc>
          <w:tcPr>
            <w:tcW w:w="669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完整性价值较低，未经授权的修改或破坏会对组织造成轻微影响，对业务冲击轻微，容易弥补。</w:t>
            </w:r>
          </w:p>
        </w:tc>
      </w:tr>
      <w:tr>
        <w:tblPrEx>
          <w:tblW w:w="0" w:type="auto"/>
          <w:tblInd w:w="0" w:type="dxa"/>
          <w:tblLayout w:type="fixed"/>
          <w:tblCellMar>
            <w:top w:w="0" w:type="dxa"/>
            <w:left w:w="10" w:type="dxa"/>
            <w:bottom w:w="0" w:type="dxa"/>
            <w:right w:w="10" w:type="dxa"/>
          </w:tblCellMar>
        </w:tblPrEx>
        <w:tc>
          <w:tcPr>
            <w:tcW w:w="798"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1</w:t>
            </w:r>
          </w:p>
        </w:tc>
        <w:tc>
          <w:tcPr>
            <w:tcW w:w="790"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很低</w:t>
            </w:r>
          </w:p>
        </w:tc>
        <w:tc>
          <w:tcPr>
            <w:tcW w:w="6692" w:type="dxa"/>
            <w:tcBorders>
              <w:top w:val="single" w:sz="4" w:space="0" w:color="auto"/>
              <w:left w:val="single" w:sz="4" w:space="0" w:color="auto"/>
              <w:bottom w:val="single" w:sz="4" w:space="0" w:color="auto"/>
              <w:right w:val="single" w:sz="4" w:space="0" w:color="auto"/>
            </w:tcBorders>
            <w:tcMar>
              <w:top w:w="60" w:type="dxa"/>
              <w:left w:w="120" w:type="dxa"/>
              <w:bottom w:w="30" w:type="dxa"/>
              <w:right w:w="120" w:type="dxa"/>
            </w:tcMar>
          </w:tcPr>
          <w:p>
            <w:pPr>
              <w:pStyle w:val="a1"/>
              <w:bidi w:val="0"/>
              <w:ind w:left="0" w:firstLine="0" w:leftChars="0" w:firstLineChars="0"/>
            </w:pPr>
            <w:r>
              <w:t>完整性价值非常低，未经授权的修改或破坏对组织造成的影响可以忽略，对业务冲击可以忽略。</w:t>
            </w:r>
          </w:p>
        </w:tc>
      </w:tr>
    </w:tbl>
    <w:p>
      <w:pPr>
        <w:pStyle w:val="a1"/>
        <w:bidi w:val="0"/>
      </w:pPr>
      <w:r>
        <w:t>最后对可用性赋值，根据资产在可用性上的不同要求，将其分为五个不同的等级，分别对应资产在可用性上应达成的不同程度。可用性赋值标准如下表所示：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778"/>
        <w:gridCol w:w="730"/>
        <w:gridCol w:w="694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778" w:type="dxa"/>
            <w:tcMar>
              <w:top w:w="60" w:type="dxa"/>
              <w:left w:w="120" w:type="dxa"/>
              <w:bottom w:w="30" w:type="dxa"/>
              <w:right w:w="120" w:type="dxa"/>
            </w:tcMar>
          </w:tcPr>
          <w:p>
            <w:pPr>
              <w:pStyle w:val="a1"/>
              <w:bidi w:val="0"/>
              <w:ind w:left="0" w:firstLine="0" w:leftChars="0" w:firstLineChars="0"/>
            </w:pPr>
            <w:r>
              <w:t>赋值</w:t>
            </w:r>
          </w:p>
        </w:tc>
        <w:tc>
          <w:tcPr>
            <w:tcW w:w="730" w:type="dxa"/>
            <w:tcMar>
              <w:top w:w="60" w:type="dxa"/>
              <w:left w:w="120" w:type="dxa"/>
              <w:bottom w:w="30" w:type="dxa"/>
              <w:right w:w="120" w:type="dxa"/>
            </w:tcMar>
          </w:tcPr>
          <w:p>
            <w:pPr>
              <w:pStyle w:val="a1"/>
              <w:bidi w:val="0"/>
              <w:ind w:left="0" w:firstLine="0" w:leftChars="0" w:firstLineChars="0"/>
            </w:pPr>
            <w:r>
              <w:t>标识</w:t>
            </w:r>
          </w:p>
        </w:tc>
        <w:tc>
          <w:tcPr>
            <w:tcW w:w="6940" w:type="dxa"/>
            <w:tcMar>
              <w:top w:w="60" w:type="dxa"/>
              <w:left w:w="120" w:type="dxa"/>
              <w:bottom w:w="30" w:type="dxa"/>
              <w:right w:w="120" w:type="dxa"/>
            </w:tcMar>
          </w:tcPr>
          <w:p>
            <w:pPr>
              <w:pStyle w:val="a1"/>
              <w:bidi w:val="0"/>
            </w:pPr>
            <w:r>
              <w:t>定义</w:t>
            </w:r>
          </w:p>
        </w:tc>
      </w:tr>
      <w:tr>
        <w:tblPrEx>
          <w:tblW w:w="0" w:type="auto"/>
          <w:tblInd w:w="0" w:type="dxa"/>
          <w:tblLayout w:type="fixed"/>
          <w:tblCellMar>
            <w:top w:w="0" w:type="dxa"/>
            <w:left w:w="10" w:type="dxa"/>
            <w:bottom w:w="0" w:type="dxa"/>
            <w:right w:w="10" w:type="dxa"/>
          </w:tblCellMar>
        </w:tblPrEx>
        <w:tc>
          <w:tcPr>
            <w:tcW w:w="778" w:type="dxa"/>
            <w:tcMar>
              <w:top w:w="60" w:type="dxa"/>
              <w:left w:w="120" w:type="dxa"/>
              <w:bottom w:w="30" w:type="dxa"/>
              <w:right w:w="120" w:type="dxa"/>
            </w:tcMar>
          </w:tcPr>
          <w:p>
            <w:pPr>
              <w:pStyle w:val="a1"/>
              <w:bidi w:val="0"/>
              <w:ind w:left="0" w:firstLine="0" w:leftChars="0" w:firstLineChars="0"/>
            </w:pPr>
            <w:r>
              <w:t>5</w:t>
            </w:r>
          </w:p>
        </w:tc>
        <w:tc>
          <w:tcPr>
            <w:tcW w:w="730" w:type="dxa"/>
            <w:tcMar>
              <w:top w:w="60" w:type="dxa"/>
              <w:left w:w="120" w:type="dxa"/>
              <w:bottom w:w="30" w:type="dxa"/>
              <w:right w:w="120" w:type="dxa"/>
            </w:tcMar>
          </w:tcPr>
          <w:p>
            <w:pPr>
              <w:pStyle w:val="a1"/>
              <w:bidi w:val="0"/>
              <w:ind w:left="0" w:firstLine="0" w:leftChars="0" w:firstLineChars="0"/>
            </w:pPr>
            <w:r>
              <w:t>很高</w:t>
            </w:r>
          </w:p>
        </w:tc>
        <w:tc>
          <w:tcPr>
            <w:tcW w:w="6940" w:type="dxa"/>
            <w:tcMar>
              <w:top w:w="60" w:type="dxa"/>
              <w:left w:w="120" w:type="dxa"/>
              <w:bottom w:w="30" w:type="dxa"/>
              <w:right w:w="120" w:type="dxa"/>
            </w:tcMar>
          </w:tcPr>
          <w:p>
            <w:pPr>
              <w:pStyle w:val="a1"/>
              <w:bidi w:val="0"/>
              <w:ind w:left="0" w:firstLine="0" w:leftChars="0" w:firstLineChars="0"/>
            </w:pPr>
            <w:r>
              <w:t>可用性价值非常高，合法使用者对信息及信息系统的可用度达到年度 99.9%以上，或系统不允许中断。</w:t>
            </w:r>
          </w:p>
        </w:tc>
      </w:tr>
      <w:tr>
        <w:tblPrEx>
          <w:tblW w:w="0" w:type="auto"/>
          <w:tblInd w:w="0" w:type="dxa"/>
          <w:tblLayout w:type="fixed"/>
          <w:tblCellMar>
            <w:top w:w="0" w:type="dxa"/>
            <w:left w:w="10" w:type="dxa"/>
            <w:bottom w:w="0" w:type="dxa"/>
            <w:right w:w="10" w:type="dxa"/>
          </w:tblCellMar>
        </w:tblPrEx>
        <w:tc>
          <w:tcPr>
            <w:tcW w:w="778" w:type="dxa"/>
            <w:tcMar>
              <w:top w:w="60" w:type="dxa"/>
              <w:left w:w="120" w:type="dxa"/>
              <w:bottom w:w="30" w:type="dxa"/>
              <w:right w:w="120" w:type="dxa"/>
            </w:tcMar>
          </w:tcPr>
          <w:p>
            <w:pPr>
              <w:pStyle w:val="a1"/>
              <w:bidi w:val="0"/>
              <w:ind w:left="0" w:firstLine="0" w:leftChars="0" w:firstLineChars="0"/>
            </w:pPr>
            <w:r>
              <w:t>4</w:t>
            </w:r>
          </w:p>
        </w:tc>
        <w:tc>
          <w:tcPr>
            <w:tcW w:w="730" w:type="dxa"/>
            <w:tcMar>
              <w:top w:w="60" w:type="dxa"/>
              <w:left w:w="120" w:type="dxa"/>
              <w:bottom w:w="30" w:type="dxa"/>
              <w:right w:w="120" w:type="dxa"/>
            </w:tcMar>
          </w:tcPr>
          <w:p>
            <w:pPr>
              <w:pStyle w:val="a1"/>
              <w:bidi w:val="0"/>
              <w:ind w:left="0" w:firstLine="0" w:leftChars="0" w:firstLineChars="0"/>
            </w:pPr>
            <w:r>
              <w:t>高</w:t>
            </w:r>
          </w:p>
        </w:tc>
        <w:tc>
          <w:tcPr>
            <w:tcW w:w="6940" w:type="dxa"/>
            <w:tcMar>
              <w:top w:w="60" w:type="dxa"/>
              <w:left w:w="120" w:type="dxa"/>
              <w:bottom w:w="30" w:type="dxa"/>
              <w:right w:w="120" w:type="dxa"/>
            </w:tcMar>
          </w:tcPr>
          <w:p>
            <w:pPr>
              <w:pStyle w:val="a1"/>
              <w:bidi w:val="0"/>
              <w:ind w:left="0" w:firstLine="0" w:leftChars="0" w:firstLineChars="0"/>
            </w:pPr>
            <w:r>
              <w:t>可用性价值较高，合法使用者对信息及信息系统的可用度达到每天90%以上，或系统允许中断时间小于 10 分钟。</w:t>
            </w:r>
          </w:p>
        </w:tc>
      </w:tr>
      <w:tr>
        <w:tblPrEx>
          <w:tblW w:w="0" w:type="auto"/>
          <w:tblInd w:w="0" w:type="dxa"/>
          <w:tblLayout w:type="fixed"/>
          <w:tblCellMar>
            <w:top w:w="0" w:type="dxa"/>
            <w:left w:w="10" w:type="dxa"/>
            <w:bottom w:w="0" w:type="dxa"/>
            <w:right w:w="10" w:type="dxa"/>
          </w:tblCellMar>
        </w:tblPrEx>
        <w:tc>
          <w:tcPr>
            <w:tcW w:w="778" w:type="dxa"/>
            <w:tcMar>
              <w:top w:w="60" w:type="dxa"/>
              <w:left w:w="120" w:type="dxa"/>
              <w:bottom w:w="30" w:type="dxa"/>
              <w:right w:w="120" w:type="dxa"/>
            </w:tcMar>
          </w:tcPr>
          <w:p>
            <w:pPr>
              <w:pStyle w:val="a1"/>
              <w:bidi w:val="0"/>
              <w:ind w:left="0" w:firstLine="0" w:leftChars="0" w:firstLineChars="0"/>
            </w:pPr>
            <w:r>
              <w:t>3</w:t>
            </w:r>
          </w:p>
        </w:tc>
        <w:tc>
          <w:tcPr>
            <w:tcW w:w="730" w:type="dxa"/>
            <w:tcMar>
              <w:top w:w="60" w:type="dxa"/>
              <w:left w:w="120" w:type="dxa"/>
              <w:bottom w:w="30" w:type="dxa"/>
              <w:right w:w="120" w:type="dxa"/>
            </w:tcMar>
          </w:tcPr>
          <w:p>
            <w:pPr>
              <w:pStyle w:val="a1"/>
              <w:bidi w:val="0"/>
              <w:ind w:left="0" w:firstLine="0" w:leftChars="0" w:firstLineChars="0"/>
            </w:pPr>
            <w:r>
              <w:t>中等</w:t>
            </w:r>
          </w:p>
        </w:tc>
        <w:tc>
          <w:tcPr>
            <w:tcW w:w="6940" w:type="dxa"/>
            <w:tcMar>
              <w:top w:w="60" w:type="dxa"/>
              <w:left w:w="120" w:type="dxa"/>
              <w:bottom w:w="30" w:type="dxa"/>
              <w:right w:w="120" w:type="dxa"/>
            </w:tcMar>
          </w:tcPr>
          <w:p>
            <w:pPr>
              <w:pStyle w:val="a1"/>
              <w:bidi w:val="0"/>
              <w:ind w:left="0" w:firstLine="0" w:leftChars="0" w:firstLineChars="0"/>
            </w:pPr>
            <w:r>
              <w:t>可用性价值中等，合法使用者对信息及信息系统的可用度在正常工作时间达到 70%以上，或系统允许中断时间小于30 分钟。</w:t>
            </w:r>
          </w:p>
        </w:tc>
      </w:tr>
      <w:tr>
        <w:tblPrEx>
          <w:tblW w:w="0" w:type="auto"/>
          <w:tblInd w:w="0" w:type="dxa"/>
          <w:tblLayout w:type="fixed"/>
          <w:tblCellMar>
            <w:top w:w="0" w:type="dxa"/>
            <w:left w:w="10" w:type="dxa"/>
            <w:bottom w:w="0" w:type="dxa"/>
            <w:right w:w="10" w:type="dxa"/>
          </w:tblCellMar>
        </w:tblPrEx>
        <w:tc>
          <w:tcPr>
            <w:tcW w:w="778" w:type="dxa"/>
            <w:tcMar>
              <w:top w:w="60" w:type="dxa"/>
              <w:left w:w="120" w:type="dxa"/>
              <w:bottom w:w="30" w:type="dxa"/>
              <w:right w:w="120" w:type="dxa"/>
            </w:tcMar>
          </w:tcPr>
          <w:p>
            <w:pPr>
              <w:pStyle w:val="a1"/>
              <w:bidi w:val="0"/>
              <w:ind w:left="0" w:firstLine="0" w:leftChars="0" w:firstLineChars="0"/>
            </w:pPr>
            <w:r>
              <w:t>2</w:t>
            </w:r>
          </w:p>
        </w:tc>
        <w:tc>
          <w:tcPr>
            <w:tcW w:w="730" w:type="dxa"/>
            <w:tcMar>
              <w:top w:w="60" w:type="dxa"/>
              <w:left w:w="120" w:type="dxa"/>
              <w:bottom w:w="30" w:type="dxa"/>
              <w:right w:w="120" w:type="dxa"/>
            </w:tcMar>
          </w:tcPr>
          <w:p>
            <w:pPr>
              <w:pStyle w:val="a1"/>
              <w:bidi w:val="0"/>
              <w:ind w:left="0" w:firstLine="0" w:leftChars="0" w:firstLineChars="0"/>
            </w:pPr>
            <w:r>
              <w:t>低</w:t>
            </w:r>
          </w:p>
        </w:tc>
        <w:tc>
          <w:tcPr>
            <w:tcW w:w="6940" w:type="dxa"/>
            <w:tcMar>
              <w:top w:w="60" w:type="dxa"/>
              <w:left w:w="120" w:type="dxa"/>
              <w:bottom w:w="30" w:type="dxa"/>
              <w:right w:w="120" w:type="dxa"/>
            </w:tcMar>
          </w:tcPr>
          <w:p>
            <w:pPr>
              <w:pStyle w:val="a1"/>
              <w:bidi w:val="0"/>
              <w:ind w:left="0" w:firstLine="0" w:leftChars="0" w:firstLineChars="0"/>
            </w:pPr>
            <w:r>
              <w:t>可用性价值较低，合法使用者对信息及信息系统的可用度在正常工作时间达到 25%以上，或系统允许中断时间小于60 分钟。</w:t>
            </w:r>
          </w:p>
        </w:tc>
      </w:tr>
      <w:tr>
        <w:tblPrEx>
          <w:tblW w:w="0" w:type="auto"/>
          <w:tblInd w:w="0" w:type="dxa"/>
          <w:tblLayout w:type="fixed"/>
          <w:tblCellMar>
            <w:top w:w="0" w:type="dxa"/>
            <w:left w:w="10" w:type="dxa"/>
            <w:bottom w:w="0" w:type="dxa"/>
            <w:right w:w="10" w:type="dxa"/>
          </w:tblCellMar>
        </w:tblPrEx>
        <w:tc>
          <w:tcPr>
            <w:tcW w:w="778" w:type="dxa"/>
            <w:tcMar>
              <w:top w:w="60" w:type="dxa"/>
              <w:left w:w="120" w:type="dxa"/>
              <w:bottom w:w="30" w:type="dxa"/>
              <w:right w:w="120" w:type="dxa"/>
            </w:tcMar>
          </w:tcPr>
          <w:p>
            <w:pPr>
              <w:pStyle w:val="a1"/>
              <w:bidi w:val="0"/>
              <w:ind w:left="0" w:firstLine="0" w:leftChars="0" w:firstLineChars="0"/>
            </w:pPr>
            <w:r>
              <w:t>1</w:t>
            </w:r>
          </w:p>
        </w:tc>
        <w:tc>
          <w:tcPr>
            <w:tcW w:w="730" w:type="dxa"/>
            <w:tcMar>
              <w:top w:w="60" w:type="dxa"/>
              <w:left w:w="120" w:type="dxa"/>
              <w:bottom w:w="30" w:type="dxa"/>
              <w:right w:w="120" w:type="dxa"/>
            </w:tcMar>
          </w:tcPr>
          <w:p>
            <w:pPr>
              <w:pStyle w:val="a1"/>
              <w:bidi w:val="0"/>
              <w:ind w:left="0" w:firstLine="0" w:leftChars="0" w:firstLineChars="0"/>
            </w:pPr>
            <w:r>
              <w:t>很低</w:t>
            </w:r>
          </w:p>
        </w:tc>
        <w:tc>
          <w:tcPr>
            <w:tcW w:w="6940" w:type="dxa"/>
            <w:tcMar>
              <w:top w:w="60" w:type="dxa"/>
              <w:left w:w="120" w:type="dxa"/>
              <w:bottom w:w="30" w:type="dxa"/>
              <w:right w:w="120" w:type="dxa"/>
            </w:tcMar>
          </w:tcPr>
          <w:p>
            <w:pPr>
              <w:pStyle w:val="a1"/>
              <w:bidi w:val="0"/>
              <w:ind w:left="0" w:firstLine="0" w:leftChars="0" w:firstLineChars="0"/>
            </w:pPr>
            <w:r>
              <w:t>可用性价值可以忽略，合法使用者对信息及信息系统的可用度在正常工作时间低于 25%。</w:t>
            </w:r>
          </w:p>
        </w:tc>
      </w:tr>
    </w:tbl>
    <w:p>
      <w:pPr>
        <w:pStyle w:val="a1"/>
        <w:bidi w:val="0"/>
      </w:pPr>
      <w:r>
        <w:t>最终，资产价值依据资产在机密性、完整性和可用性上的赋值等级， 经过综合计算评定得出一个综合数值，根据这个数值，对应下表即可分析出资产的总体价值：</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808"/>
        <w:gridCol w:w="870"/>
        <w:gridCol w:w="1100"/>
        <w:gridCol w:w="550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808" w:type="dxa"/>
            <w:tcMar>
              <w:top w:w="60" w:type="dxa"/>
              <w:left w:w="120" w:type="dxa"/>
              <w:bottom w:w="30" w:type="dxa"/>
              <w:right w:w="120" w:type="dxa"/>
            </w:tcMar>
          </w:tcPr>
          <w:p>
            <w:pPr>
              <w:pStyle w:val="a1"/>
              <w:bidi w:val="0"/>
              <w:ind w:left="0" w:firstLine="0" w:leftChars="0" w:firstLineChars="0"/>
            </w:pPr>
            <w:r>
              <w:t>等级</w:t>
            </w:r>
          </w:p>
        </w:tc>
        <w:tc>
          <w:tcPr>
            <w:tcW w:w="870" w:type="dxa"/>
            <w:tcMar>
              <w:top w:w="60" w:type="dxa"/>
              <w:left w:w="120" w:type="dxa"/>
              <w:bottom w:w="30" w:type="dxa"/>
              <w:right w:w="120" w:type="dxa"/>
            </w:tcMar>
          </w:tcPr>
          <w:p>
            <w:pPr>
              <w:pStyle w:val="a1"/>
              <w:bidi w:val="0"/>
              <w:ind w:left="0" w:firstLine="0" w:leftChars="0" w:firstLineChars="0"/>
            </w:pPr>
            <w:r>
              <w:t>标识</w:t>
            </w:r>
          </w:p>
        </w:tc>
        <w:tc>
          <w:tcPr>
            <w:tcW w:w="1100" w:type="dxa"/>
            <w:tcMar>
              <w:top w:w="60" w:type="dxa"/>
              <w:left w:w="120" w:type="dxa"/>
              <w:bottom w:w="30" w:type="dxa"/>
              <w:right w:w="120" w:type="dxa"/>
            </w:tcMar>
          </w:tcPr>
          <w:p>
            <w:pPr>
              <w:pStyle w:val="a1"/>
              <w:bidi w:val="0"/>
              <w:ind w:left="0" w:firstLine="0" w:leftChars="0" w:firstLineChars="0"/>
            </w:pPr>
            <w:r>
              <w:t>得分</w:t>
            </w:r>
          </w:p>
        </w:tc>
        <w:tc>
          <w:tcPr>
            <w:tcW w:w="5502" w:type="dxa"/>
            <w:tcMar>
              <w:top w:w="60" w:type="dxa"/>
              <w:left w:w="120" w:type="dxa"/>
              <w:bottom w:w="30" w:type="dxa"/>
              <w:right w:w="120" w:type="dxa"/>
            </w:tcMar>
          </w:tcPr>
          <w:p>
            <w:pPr>
              <w:pStyle w:val="a1"/>
              <w:bidi w:val="0"/>
            </w:pPr>
            <w:r>
              <w:t>描述</w:t>
            </w:r>
          </w:p>
        </w:tc>
      </w:tr>
      <w:tr>
        <w:tblPrEx>
          <w:tblW w:w="0" w:type="auto"/>
          <w:tblInd w:w="0" w:type="dxa"/>
          <w:tblLayout w:type="fixed"/>
          <w:tblCellMar>
            <w:top w:w="0" w:type="dxa"/>
            <w:left w:w="10" w:type="dxa"/>
            <w:bottom w:w="0" w:type="dxa"/>
            <w:right w:w="10" w:type="dxa"/>
          </w:tblCellMar>
        </w:tblPrEx>
        <w:tc>
          <w:tcPr>
            <w:tcW w:w="808" w:type="dxa"/>
            <w:tcMar>
              <w:top w:w="60" w:type="dxa"/>
              <w:left w:w="120" w:type="dxa"/>
              <w:bottom w:w="30" w:type="dxa"/>
              <w:right w:w="120" w:type="dxa"/>
            </w:tcMar>
          </w:tcPr>
          <w:p>
            <w:pPr>
              <w:pStyle w:val="a1"/>
              <w:bidi w:val="0"/>
              <w:ind w:left="0" w:firstLine="0" w:leftChars="0" w:firstLineChars="0"/>
            </w:pPr>
            <w:r>
              <w:t>5</w:t>
            </w:r>
          </w:p>
        </w:tc>
        <w:tc>
          <w:tcPr>
            <w:tcW w:w="870" w:type="dxa"/>
            <w:tcMar>
              <w:top w:w="60" w:type="dxa"/>
              <w:left w:w="120" w:type="dxa"/>
              <w:bottom w:w="30" w:type="dxa"/>
              <w:right w:w="120" w:type="dxa"/>
            </w:tcMar>
          </w:tcPr>
          <w:p>
            <w:pPr>
              <w:pStyle w:val="a1"/>
              <w:bidi w:val="0"/>
              <w:ind w:left="0" w:firstLine="0" w:leftChars="0" w:firstLineChars="0"/>
            </w:pPr>
            <w:r>
              <w:t>很高</w:t>
            </w:r>
          </w:p>
        </w:tc>
        <w:tc>
          <w:tcPr>
            <w:tcW w:w="1100" w:type="dxa"/>
            <w:tcMar>
              <w:top w:w="60" w:type="dxa"/>
              <w:left w:w="120" w:type="dxa"/>
              <w:bottom w:w="30" w:type="dxa"/>
              <w:right w:w="120" w:type="dxa"/>
            </w:tcMar>
          </w:tcPr>
          <w:p>
            <w:pPr>
              <w:pStyle w:val="a1"/>
              <w:bidi w:val="0"/>
              <w:ind w:left="0" w:firstLine="0" w:leftChars="0" w:firstLineChars="0"/>
            </w:pPr>
            <w:r>
              <w:t>4.6-5</w:t>
            </w:r>
          </w:p>
        </w:tc>
        <w:tc>
          <w:tcPr>
            <w:tcW w:w="5502" w:type="dxa"/>
            <w:tcMar>
              <w:top w:w="60" w:type="dxa"/>
              <w:left w:w="120" w:type="dxa"/>
              <w:bottom w:w="30" w:type="dxa"/>
              <w:right w:w="120" w:type="dxa"/>
            </w:tcMar>
          </w:tcPr>
          <w:p>
            <w:pPr>
              <w:pStyle w:val="a1"/>
              <w:bidi w:val="0"/>
              <w:ind w:left="0" w:firstLine="0" w:leftChars="0" w:firstLineChars="0"/>
            </w:pPr>
            <w:r>
              <w:t>非常重要，其安全属性破坏后可能对组织造成非常严重的损失。</w:t>
            </w:r>
          </w:p>
        </w:tc>
      </w:tr>
      <w:tr>
        <w:tblPrEx>
          <w:tblW w:w="0" w:type="auto"/>
          <w:tblInd w:w="0" w:type="dxa"/>
          <w:tblLayout w:type="fixed"/>
          <w:tblCellMar>
            <w:top w:w="0" w:type="dxa"/>
            <w:left w:w="10" w:type="dxa"/>
            <w:bottom w:w="0" w:type="dxa"/>
            <w:right w:w="10" w:type="dxa"/>
          </w:tblCellMar>
        </w:tblPrEx>
        <w:tc>
          <w:tcPr>
            <w:tcW w:w="808" w:type="dxa"/>
            <w:tcMar>
              <w:top w:w="60" w:type="dxa"/>
              <w:left w:w="120" w:type="dxa"/>
              <w:bottom w:w="30" w:type="dxa"/>
              <w:right w:w="120" w:type="dxa"/>
            </w:tcMar>
          </w:tcPr>
          <w:p>
            <w:pPr>
              <w:pStyle w:val="a1"/>
              <w:bidi w:val="0"/>
              <w:ind w:left="0" w:firstLine="0" w:leftChars="0" w:firstLineChars="0"/>
            </w:pPr>
            <w:r>
              <w:t>4</w:t>
            </w:r>
          </w:p>
        </w:tc>
        <w:tc>
          <w:tcPr>
            <w:tcW w:w="870" w:type="dxa"/>
            <w:tcMar>
              <w:top w:w="60" w:type="dxa"/>
              <w:left w:w="120" w:type="dxa"/>
              <w:bottom w:w="30" w:type="dxa"/>
              <w:right w:w="120" w:type="dxa"/>
            </w:tcMar>
          </w:tcPr>
          <w:p>
            <w:pPr>
              <w:pStyle w:val="a1"/>
              <w:bidi w:val="0"/>
              <w:ind w:left="0" w:firstLine="0" w:leftChars="0" w:firstLineChars="0"/>
            </w:pPr>
            <w:r>
              <w:t>高</w:t>
            </w:r>
          </w:p>
        </w:tc>
        <w:tc>
          <w:tcPr>
            <w:tcW w:w="1100" w:type="dxa"/>
            <w:tcMar>
              <w:top w:w="60" w:type="dxa"/>
              <w:left w:w="120" w:type="dxa"/>
              <w:bottom w:w="30" w:type="dxa"/>
              <w:right w:w="120" w:type="dxa"/>
            </w:tcMar>
          </w:tcPr>
          <w:p>
            <w:pPr>
              <w:pStyle w:val="a1"/>
              <w:bidi w:val="0"/>
              <w:ind w:left="0" w:firstLine="0" w:leftChars="0" w:firstLineChars="0"/>
            </w:pPr>
            <w:r>
              <w:t>3.6-4.5</w:t>
            </w:r>
          </w:p>
        </w:tc>
        <w:tc>
          <w:tcPr>
            <w:tcW w:w="5502" w:type="dxa"/>
            <w:tcMar>
              <w:top w:w="60" w:type="dxa"/>
              <w:left w:w="120" w:type="dxa"/>
              <w:bottom w:w="30" w:type="dxa"/>
              <w:right w:w="120" w:type="dxa"/>
            </w:tcMar>
          </w:tcPr>
          <w:p>
            <w:pPr>
              <w:pStyle w:val="a1"/>
              <w:bidi w:val="0"/>
              <w:ind w:left="0" w:firstLine="0" w:leftChars="0" w:firstLineChars="0"/>
            </w:pPr>
            <w:r>
              <w:t>重要，其安全属性破坏后可能对组织造成比较严重的损失。</w:t>
            </w:r>
          </w:p>
        </w:tc>
      </w:tr>
      <w:tr>
        <w:tblPrEx>
          <w:tblW w:w="0" w:type="auto"/>
          <w:tblInd w:w="0" w:type="dxa"/>
          <w:tblLayout w:type="fixed"/>
          <w:tblCellMar>
            <w:top w:w="0" w:type="dxa"/>
            <w:left w:w="10" w:type="dxa"/>
            <w:bottom w:w="0" w:type="dxa"/>
            <w:right w:w="10" w:type="dxa"/>
          </w:tblCellMar>
        </w:tblPrEx>
        <w:tc>
          <w:tcPr>
            <w:tcW w:w="808" w:type="dxa"/>
            <w:tcMar>
              <w:top w:w="60" w:type="dxa"/>
              <w:left w:w="120" w:type="dxa"/>
              <w:bottom w:w="30" w:type="dxa"/>
              <w:right w:w="120" w:type="dxa"/>
            </w:tcMar>
          </w:tcPr>
          <w:p>
            <w:pPr>
              <w:pStyle w:val="a1"/>
              <w:bidi w:val="0"/>
              <w:ind w:left="0" w:firstLine="0" w:leftChars="0" w:firstLineChars="0"/>
            </w:pPr>
            <w:r>
              <w:t>3</w:t>
            </w:r>
          </w:p>
        </w:tc>
        <w:tc>
          <w:tcPr>
            <w:tcW w:w="870" w:type="dxa"/>
            <w:tcMar>
              <w:top w:w="60" w:type="dxa"/>
              <w:left w:w="120" w:type="dxa"/>
              <w:bottom w:w="30" w:type="dxa"/>
              <w:right w:w="120" w:type="dxa"/>
            </w:tcMar>
          </w:tcPr>
          <w:p>
            <w:pPr>
              <w:pStyle w:val="a1"/>
              <w:bidi w:val="0"/>
              <w:ind w:left="0" w:firstLine="0" w:leftChars="0" w:firstLineChars="0"/>
            </w:pPr>
            <w:r>
              <w:t>中</w:t>
            </w:r>
          </w:p>
        </w:tc>
        <w:tc>
          <w:tcPr>
            <w:tcW w:w="1100" w:type="dxa"/>
            <w:tcMar>
              <w:top w:w="60" w:type="dxa"/>
              <w:left w:w="120" w:type="dxa"/>
              <w:bottom w:w="30" w:type="dxa"/>
              <w:right w:w="120" w:type="dxa"/>
            </w:tcMar>
          </w:tcPr>
          <w:p>
            <w:pPr>
              <w:pStyle w:val="a1"/>
              <w:bidi w:val="0"/>
              <w:ind w:left="0" w:firstLine="0" w:leftChars="0" w:firstLineChars="0"/>
            </w:pPr>
            <w:r>
              <w:t>2.6-3.5</w:t>
            </w:r>
          </w:p>
        </w:tc>
        <w:tc>
          <w:tcPr>
            <w:tcW w:w="5502" w:type="dxa"/>
            <w:tcMar>
              <w:top w:w="60" w:type="dxa"/>
              <w:left w:w="120" w:type="dxa"/>
              <w:bottom w:w="30" w:type="dxa"/>
              <w:right w:w="120" w:type="dxa"/>
            </w:tcMar>
          </w:tcPr>
          <w:p>
            <w:pPr>
              <w:pStyle w:val="a1"/>
              <w:bidi w:val="0"/>
              <w:ind w:left="0" w:firstLine="0" w:leftChars="0" w:firstLineChars="0"/>
            </w:pPr>
            <w:r>
              <w:t>比较重要，其安全属性破坏后可能对组织造成中等程度的损失。</w:t>
            </w:r>
          </w:p>
        </w:tc>
      </w:tr>
      <w:tr>
        <w:tblPrEx>
          <w:tblW w:w="0" w:type="auto"/>
          <w:tblInd w:w="0" w:type="dxa"/>
          <w:tblLayout w:type="fixed"/>
          <w:tblCellMar>
            <w:top w:w="0" w:type="dxa"/>
            <w:left w:w="10" w:type="dxa"/>
            <w:bottom w:w="0" w:type="dxa"/>
            <w:right w:w="10" w:type="dxa"/>
          </w:tblCellMar>
        </w:tblPrEx>
        <w:tc>
          <w:tcPr>
            <w:tcW w:w="808" w:type="dxa"/>
            <w:tcMar>
              <w:top w:w="60" w:type="dxa"/>
              <w:left w:w="120" w:type="dxa"/>
              <w:bottom w:w="30" w:type="dxa"/>
              <w:right w:w="120" w:type="dxa"/>
            </w:tcMar>
          </w:tcPr>
          <w:p>
            <w:pPr>
              <w:pStyle w:val="a1"/>
              <w:bidi w:val="0"/>
              <w:ind w:left="0" w:firstLine="0" w:leftChars="0" w:firstLineChars="0"/>
            </w:pPr>
            <w:r>
              <w:t>2</w:t>
            </w:r>
          </w:p>
        </w:tc>
        <w:tc>
          <w:tcPr>
            <w:tcW w:w="870" w:type="dxa"/>
            <w:tcMar>
              <w:top w:w="60" w:type="dxa"/>
              <w:left w:w="120" w:type="dxa"/>
              <w:bottom w:w="30" w:type="dxa"/>
              <w:right w:w="120" w:type="dxa"/>
            </w:tcMar>
          </w:tcPr>
          <w:p>
            <w:pPr>
              <w:pStyle w:val="a1"/>
              <w:bidi w:val="0"/>
              <w:ind w:left="0" w:firstLine="0" w:leftChars="0" w:firstLineChars="0"/>
            </w:pPr>
            <w:r>
              <w:t>低</w:t>
            </w:r>
          </w:p>
        </w:tc>
        <w:tc>
          <w:tcPr>
            <w:tcW w:w="1100" w:type="dxa"/>
            <w:tcMar>
              <w:top w:w="60" w:type="dxa"/>
              <w:left w:w="120" w:type="dxa"/>
              <w:bottom w:w="30" w:type="dxa"/>
              <w:right w:w="120" w:type="dxa"/>
            </w:tcMar>
          </w:tcPr>
          <w:p>
            <w:pPr>
              <w:pStyle w:val="a1"/>
              <w:bidi w:val="0"/>
              <w:ind w:left="0" w:firstLine="0" w:leftChars="0" w:firstLineChars="0"/>
            </w:pPr>
            <w:r>
              <w:t>1.6-2.5</w:t>
            </w:r>
          </w:p>
        </w:tc>
        <w:tc>
          <w:tcPr>
            <w:tcW w:w="5502" w:type="dxa"/>
            <w:tcMar>
              <w:top w:w="60" w:type="dxa"/>
              <w:left w:w="120" w:type="dxa"/>
              <w:bottom w:w="30" w:type="dxa"/>
              <w:right w:w="120" w:type="dxa"/>
            </w:tcMar>
          </w:tcPr>
          <w:p>
            <w:pPr>
              <w:pStyle w:val="a1"/>
              <w:bidi w:val="0"/>
              <w:ind w:left="0" w:firstLine="0" w:leftChars="0" w:firstLineChars="0"/>
            </w:pPr>
            <w:r>
              <w:t>不太重要，其安全属性破坏后可能对组织造成较低的损失。</w:t>
            </w:r>
          </w:p>
        </w:tc>
      </w:tr>
      <w:tr>
        <w:tblPrEx>
          <w:tblW w:w="0" w:type="auto"/>
          <w:tblInd w:w="0" w:type="dxa"/>
          <w:tblLayout w:type="fixed"/>
          <w:tblCellMar>
            <w:top w:w="0" w:type="dxa"/>
            <w:left w:w="10" w:type="dxa"/>
            <w:bottom w:w="0" w:type="dxa"/>
            <w:right w:w="10" w:type="dxa"/>
          </w:tblCellMar>
        </w:tblPrEx>
        <w:tc>
          <w:tcPr>
            <w:tcW w:w="808" w:type="dxa"/>
            <w:tcMar>
              <w:top w:w="60" w:type="dxa"/>
              <w:left w:w="120" w:type="dxa"/>
              <w:bottom w:w="30" w:type="dxa"/>
              <w:right w:w="120" w:type="dxa"/>
            </w:tcMar>
          </w:tcPr>
          <w:p>
            <w:pPr>
              <w:pStyle w:val="a1"/>
              <w:bidi w:val="0"/>
              <w:ind w:left="0" w:firstLine="0" w:leftChars="0" w:firstLineChars="0"/>
            </w:pPr>
            <w:r>
              <w:t>1</w:t>
            </w:r>
          </w:p>
        </w:tc>
        <w:tc>
          <w:tcPr>
            <w:tcW w:w="870" w:type="dxa"/>
            <w:tcMar>
              <w:top w:w="60" w:type="dxa"/>
              <w:left w:w="120" w:type="dxa"/>
              <w:bottom w:w="30" w:type="dxa"/>
              <w:right w:w="120" w:type="dxa"/>
            </w:tcMar>
          </w:tcPr>
          <w:p>
            <w:pPr>
              <w:pStyle w:val="a1"/>
              <w:bidi w:val="0"/>
              <w:ind w:left="0" w:firstLine="0" w:leftChars="0" w:firstLineChars="0"/>
            </w:pPr>
            <w:r>
              <w:t>很低</w:t>
            </w:r>
          </w:p>
        </w:tc>
        <w:tc>
          <w:tcPr>
            <w:tcW w:w="1100" w:type="dxa"/>
            <w:tcMar>
              <w:top w:w="60" w:type="dxa"/>
              <w:left w:w="120" w:type="dxa"/>
              <w:bottom w:w="30" w:type="dxa"/>
              <w:right w:w="120" w:type="dxa"/>
            </w:tcMar>
          </w:tcPr>
          <w:p>
            <w:pPr>
              <w:pStyle w:val="a1"/>
              <w:bidi w:val="0"/>
              <w:ind w:left="0" w:firstLine="0" w:leftChars="0" w:firstLineChars="0"/>
            </w:pPr>
            <w:r>
              <w:t>1-1.5</w:t>
            </w:r>
          </w:p>
        </w:tc>
        <w:tc>
          <w:tcPr>
            <w:tcW w:w="5502" w:type="dxa"/>
            <w:tcMar>
              <w:top w:w="60" w:type="dxa"/>
              <w:left w:w="120" w:type="dxa"/>
              <w:bottom w:w="30" w:type="dxa"/>
              <w:right w:w="120" w:type="dxa"/>
            </w:tcMar>
          </w:tcPr>
          <w:p>
            <w:pPr>
              <w:pStyle w:val="a1"/>
              <w:bidi w:val="0"/>
              <w:ind w:left="0" w:firstLine="0" w:leftChars="0" w:firstLineChars="0"/>
            </w:pPr>
            <w:r>
              <w:t>不重要，组织造成导很小的损失，甚至忽略不计</w:t>
            </w:r>
          </w:p>
        </w:tc>
      </w:tr>
    </w:tbl>
    <w:p>
      <w:pPr>
        <w:pStyle w:val="2"/>
        <w:bidi w:val="0"/>
      </w:pPr>
      <w:bookmarkStart w:id="60" w:name="heading_31"/>
      <w:bookmarkStart w:id="61" w:name="_Toc28366"/>
      <w:r>
        <w:t>威胁评估</w:t>
      </w:r>
      <w:bookmarkEnd w:id="60"/>
      <w:bookmarkEnd w:id="61"/>
    </w:p>
    <w:p>
      <w:pPr>
        <w:pStyle w:val="3"/>
        <w:bidi w:val="0"/>
      </w:pPr>
      <w:bookmarkStart w:id="62" w:name="heading_32"/>
      <w:bookmarkStart w:id="63" w:name="_Toc20220"/>
      <w:r>
        <w:t>威胁概述</w:t>
      </w:r>
      <w:bookmarkEnd w:id="62"/>
      <w:bookmarkEnd w:id="63"/>
    </w:p>
    <w:p>
      <w:pPr>
        <w:pStyle w:val="a1"/>
        <w:bidi w:val="0"/>
      </w:pPr>
      <w:r>
        <w:t>威胁是指可能对资产或组织造成损害事故的潜在原因。威胁可能源于对信息系统直接或间接的攻击，也可能源于偶发的或蓄意的内部、外部事件。威胁只有利用系统存在的脆弱点才能对系统造成影响和伤害，形成风险。</w:t>
      </w:r>
    </w:p>
    <w:p>
      <w:pPr>
        <w:pStyle w:val="a1"/>
        <w:bidi w:val="0"/>
      </w:pPr>
      <w:r>
        <w:t>威胁调查主要通过调查问卷、现场观察、问询等方式对信息系统进行提取威胁评估需要的相关信息。</w:t>
      </w:r>
    </w:p>
    <w:p>
      <w:pPr>
        <w:pStyle w:val="3"/>
        <w:bidi w:val="0"/>
      </w:pPr>
      <w:bookmarkStart w:id="64" w:name="heading_33"/>
      <w:bookmarkStart w:id="65" w:name="_Toc7870"/>
      <w:r>
        <w:t>威胁识别</w:t>
      </w:r>
      <w:bookmarkEnd w:id="64"/>
      <w:bookmarkEnd w:id="65"/>
    </w:p>
    <w:p>
      <w:pPr>
        <w:pStyle w:val="a1"/>
        <w:bidi w:val="0"/>
      </w:pPr>
      <w:r>
        <w:t>威胁识别的任务主要是识别可能的威胁主体（威胁源）、威胁途径和威胁方式，威胁主体是指可能会对信息资产造成威胁的主体对象，威胁方式是指威胁主体利用脆弱性的威胁形式，威胁主体会采用威胁方法利用资产存在的脆弱性对资产进行破坏。</w:t>
      </w:r>
    </w:p>
    <w:p>
      <w:pPr>
        <w:pStyle w:val="a1"/>
        <w:bidi w:val="0"/>
      </w:pPr>
      <w:r>
        <w:t>威胁主体：分为人为因素和环境因素。根据威胁的动机， 人为因素又可分为恶意和非恶意两种。环境因素包括自然灾害和设施故障。</w:t>
      </w:r>
    </w:p>
    <w:p>
      <w:pPr>
        <w:pStyle w:val="a1"/>
        <w:bidi w:val="0"/>
      </w:pPr>
      <w:r>
        <w:t>威胁途径：分为间接接触和直接接触，间接接触主要有网络访问、语音、视频访问等形式，直接接触指威胁主体可以直接物理接触到信息资产。</w:t>
      </w:r>
    </w:p>
    <w:p>
      <w:pPr>
        <w:pStyle w:val="a1"/>
        <w:bidi w:val="0"/>
      </w:pPr>
      <w:r>
        <w:t>威胁方式：主要有传播计算机病毒、传播异常信息(垃圾邮件、反动、色情、敏感信息)、扫描监听、网络攻击(后门、漏洞、口令、拒绝服务等)、越权或滥用、行为抵赖、滥用网络资源(P2P 下载等)、人为灾害(水、火等)、人为基础设施故障(电力、网络等)、窃取、破坏硬件、软件和数据等。</w:t>
      </w:r>
    </w:p>
    <w:p>
      <w:pPr>
        <w:pStyle w:val="3"/>
        <w:bidi w:val="0"/>
      </w:pPr>
      <w:bookmarkStart w:id="66" w:name="heading_34"/>
      <w:bookmarkStart w:id="67" w:name="_Toc19780"/>
      <w:r>
        <w:t>威胁分析</w:t>
      </w:r>
      <w:bookmarkEnd w:id="66"/>
      <w:bookmarkEnd w:id="67"/>
    </w:p>
    <w:p>
      <w:pPr>
        <w:pStyle w:val="a1"/>
        <w:bidi w:val="0"/>
      </w:pPr>
      <w:r>
        <w:t>威胁识别工作完成之后，我们将对资产所对应的威胁进行评估，我们将威胁的权值分为 1-5 五个级别，等级越高威胁发生的可能性越大。</w:t>
      </w:r>
    </w:p>
    <w:p>
      <w:pPr>
        <w:pStyle w:val="a1"/>
        <w:bidi w:val="0"/>
      </w:pPr>
      <w:r>
        <w:t>威胁的权值主要是根据多年的经验积累或类似行业的历史数据来确定。对于那些没有经验和历史数据的威胁，我们主要根据资产的吸引力、威胁的技术力量、脆弱性被利用的难易程度等制定了一套标准对应表， 以保证威胁等级赋值的有效性和一致性。</w:t>
      </w:r>
    </w:p>
    <w:p>
      <w:pPr>
        <w:pStyle w:val="a1"/>
        <w:bidi w:val="0"/>
      </w:pPr>
      <w:r>
        <w:t>根据赋值准则，我们对威胁发生的可能性用频率来衡量赋值：</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788"/>
        <w:gridCol w:w="1020"/>
        <w:gridCol w:w="647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788" w:type="dxa"/>
            <w:tcMar>
              <w:top w:w="60" w:type="dxa"/>
              <w:left w:w="120" w:type="dxa"/>
              <w:bottom w:w="30" w:type="dxa"/>
              <w:right w:w="120" w:type="dxa"/>
            </w:tcMar>
          </w:tcPr>
          <w:p>
            <w:pPr>
              <w:pStyle w:val="a1"/>
              <w:bidi w:val="0"/>
              <w:ind w:left="0" w:firstLine="0" w:leftChars="0" w:firstLineChars="0"/>
            </w:pPr>
            <w:r>
              <w:t>等级</w:t>
            </w:r>
          </w:p>
        </w:tc>
        <w:tc>
          <w:tcPr>
            <w:tcW w:w="1020" w:type="dxa"/>
            <w:tcMar>
              <w:top w:w="60" w:type="dxa"/>
              <w:left w:w="120" w:type="dxa"/>
              <w:bottom w:w="30" w:type="dxa"/>
              <w:right w:w="120" w:type="dxa"/>
            </w:tcMar>
          </w:tcPr>
          <w:p>
            <w:pPr>
              <w:pStyle w:val="a1"/>
              <w:bidi w:val="0"/>
              <w:ind w:left="0" w:firstLine="0" w:leftChars="0" w:firstLineChars="0"/>
            </w:pPr>
            <w:r>
              <w:t>标识</w:t>
            </w:r>
          </w:p>
        </w:tc>
        <w:tc>
          <w:tcPr>
            <w:tcW w:w="6472" w:type="dxa"/>
            <w:tcMar>
              <w:top w:w="60" w:type="dxa"/>
              <w:left w:w="120" w:type="dxa"/>
              <w:bottom w:w="30" w:type="dxa"/>
              <w:right w:w="120" w:type="dxa"/>
            </w:tcMar>
          </w:tcPr>
          <w:p>
            <w:pPr>
              <w:pStyle w:val="a1"/>
              <w:bidi w:val="0"/>
              <w:ind w:left="0" w:right="0" w:firstLine="0" w:leftChars="0" w:rightChars="0" w:firstLineChars="0"/>
              <w:jc w:val="center"/>
            </w:pPr>
            <w:r>
              <w:t>定义</w:t>
            </w:r>
          </w:p>
        </w:tc>
      </w:tr>
      <w:tr>
        <w:tblPrEx>
          <w:tblW w:w="0" w:type="auto"/>
          <w:tblInd w:w="0" w:type="dxa"/>
          <w:tblLayout w:type="fixed"/>
          <w:tblCellMar>
            <w:top w:w="0" w:type="dxa"/>
            <w:left w:w="10" w:type="dxa"/>
            <w:bottom w:w="0" w:type="dxa"/>
            <w:right w:w="10" w:type="dxa"/>
          </w:tblCellMar>
        </w:tblPrEx>
        <w:tc>
          <w:tcPr>
            <w:tcW w:w="788" w:type="dxa"/>
            <w:tcMar>
              <w:top w:w="60" w:type="dxa"/>
              <w:left w:w="120" w:type="dxa"/>
              <w:bottom w:w="30" w:type="dxa"/>
              <w:right w:w="120" w:type="dxa"/>
            </w:tcMar>
          </w:tcPr>
          <w:p>
            <w:pPr>
              <w:pStyle w:val="a1"/>
              <w:bidi w:val="0"/>
              <w:ind w:left="0" w:firstLine="0" w:leftChars="0" w:firstLineChars="0"/>
            </w:pPr>
            <w:r>
              <w:t>5</w:t>
            </w:r>
          </w:p>
        </w:tc>
        <w:tc>
          <w:tcPr>
            <w:tcW w:w="1020" w:type="dxa"/>
            <w:tcMar>
              <w:top w:w="60" w:type="dxa"/>
              <w:left w:w="120" w:type="dxa"/>
              <w:bottom w:w="30" w:type="dxa"/>
              <w:right w:w="120" w:type="dxa"/>
            </w:tcMar>
          </w:tcPr>
          <w:p>
            <w:pPr>
              <w:pStyle w:val="a1"/>
              <w:bidi w:val="0"/>
              <w:ind w:left="0" w:firstLine="0" w:leftChars="0" w:firstLineChars="0"/>
            </w:pPr>
            <w:r>
              <w:t>很高</w:t>
            </w:r>
          </w:p>
        </w:tc>
        <w:tc>
          <w:tcPr>
            <w:tcW w:w="6472" w:type="dxa"/>
            <w:tcMar>
              <w:top w:w="60" w:type="dxa"/>
              <w:left w:w="120" w:type="dxa"/>
              <w:bottom w:w="30" w:type="dxa"/>
              <w:right w:w="120" w:type="dxa"/>
            </w:tcMar>
          </w:tcPr>
          <w:p>
            <w:pPr>
              <w:pStyle w:val="a1"/>
              <w:bidi w:val="0"/>
              <w:ind w:left="0" w:firstLine="0" w:leftChars="0" w:firstLineChars="0"/>
            </w:pPr>
            <w:r>
              <w:t>威胁发生的频率极高，几乎每月都会发生，如常见网络病毒感染、垃圾邮件攻击等</w:t>
            </w:r>
          </w:p>
        </w:tc>
      </w:tr>
      <w:tr>
        <w:tblPrEx>
          <w:tblW w:w="0" w:type="auto"/>
          <w:tblInd w:w="0" w:type="dxa"/>
          <w:tblLayout w:type="fixed"/>
          <w:tblCellMar>
            <w:top w:w="0" w:type="dxa"/>
            <w:left w:w="10" w:type="dxa"/>
            <w:bottom w:w="0" w:type="dxa"/>
            <w:right w:w="10" w:type="dxa"/>
          </w:tblCellMar>
        </w:tblPrEx>
        <w:tc>
          <w:tcPr>
            <w:tcW w:w="788" w:type="dxa"/>
            <w:tcMar>
              <w:top w:w="60" w:type="dxa"/>
              <w:left w:w="120" w:type="dxa"/>
              <w:bottom w:w="30" w:type="dxa"/>
              <w:right w:w="120" w:type="dxa"/>
            </w:tcMar>
          </w:tcPr>
          <w:p>
            <w:pPr>
              <w:pStyle w:val="a1"/>
              <w:bidi w:val="0"/>
              <w:ind w:left="0" w:firstLine="0" w:leftChars="0" w:firstLineChars="0"/>
            </w:pPr>
            <w:r>
              <w:t>4</w:t>
            </w:r>
          </w:p>
        </w:tc>
        <w:tc>
          <w:tcPr>
            <w:tcW w:w="1020" w:type="dxa"/>
            <w:tcMar>
              <w:top w:w="60" w:type="dxa"/>
              <w:left w:w="120" w:type="dxa"/>
              <w:bottom w:w="30" w:type="dxa"/>
              <w:right w:w="120" w:type="dxa"/>
            </w:tcMar>
          </w:tcPr>
          <w:p>
            <w:pPr>
              <w:pStyle w:val="a1"/>
              <w:bidi w:val="0"/>
              <w:ind w:left="0" w:firstLine="0" w:leftChars="0" w:firstLineChars="0"/>
            </w:pPr>
            <w:r>
              <w:t>高</w:t>
            </w:r>
          </w:p>
        </w:tc>
        <w:tc>
          <w:tcPr>
            <w:tcW w:w="6472" w:type="dxa"/>
            <w:tcMar>
              <w:top w:w="60" w:type="dxa"/>
              <w:left w:w="120" w:type="dxa"/>
              <w:bottom w:w="30" w:type="dxa"/>
              <w:right w:w="120" w:type="dxa"/>
            </w:tcMar>
          </w:tcPr>
          <w:p>
            <w:pPr>
              <w:pStyle w:val="a1"/>
              <w:bidi w:val="0"/>
              <w:ind w:left="0" w:firstLine="0" w:leftChars="0" w:firstLineChars="0"/>
            </w:pPr>
            <w:r>
              <w:t>威胁发生的频率较高，每季度可能发生一次，如弱口令被破解、非授权访问尝试等</w:t>
            </w:r>
          </w:p>
        </w:tc>
      </w:tr>
      <w:tr>
        <w:tblPrEx>
          <w:tblW w:w="0" w:type="auto"/>
          <w:tblInd w:w="0" w:type="dxa"/>
          <w:tblLayout w:type="fixed"/>
          <w:tblCellMar>
            <w:top w:w="0" w:type="dxa"/>
            <w:left w:w="10" w:type="dxa"/>
            <w:bottom w:w="0" w:type="dxa"/>
            <w:right w:w="10" w:type="dxa"/>
          </w:tblCellMar>
        </w:tblPrEx>
        <w:tc>
          <w:tcPr>
            <w:tcW w:w="788" w:type="dxa"/>
            <w:tcMar>
              <w:top w:w="60" w:type="dxa"/>
              <w:left w:w="120" w:type="dxa"/>
              <w:bottom w:w="30" w:type="dxa"/>
              <w:right w:w="120" w:type="dxa"/>
            </w:tcMar>
          </w:tcPr>
          <w:p>
            <w:pPr>
              <w:pStyle w:val="a1"/>
              <w:bidi w:val="0"/>
              <w:ind w:left="0" w:firstLine="0" w:leftChars="0" w:firstLineChars="0"/>
            </w:pPr>
            <w:r>
              <w:t>3</w:t>
            </w:r>
          </w:p>
        </w:tc>
        <w:tc>
          <w:tcPr>
            <w:tcW w:w="1020" w:type="dxa"/>
            <w:tcMar>
              <w:top w:w="60" w:type="dxa"/>
              <w:left w:w="120" w:type="dxa"/>
              <w:bottom w:w="30" w:type="dxa"/>
              <w:right w:w="120" w:type="dxa"/>
            </w:tcMar>
          </w:tcPr>
          <w:p>
            <w:pPr>
              <w:pStyle w:val="a1"/>
              <w:bidi w:val="0"/>
              <w:ind w:left="0" w:firstLine="0" w:leftChars="0" w:firstLineChars="0"/>
            </w:pPr>
            <w:r>
              <w:t>中等</w:t>
            </w:r>
          </w:p>
        </w:tc>
        <w:tc>
          <w:tcPr>
            <w:tcW w:w="6472" w:type="dxa"/>
            <w:tcMar>
              <w:top w:w="60" w:type="dxa"/>
              <w:left w:w="120" w:type="dxa"/>
              <w:bottom w:w="30" w:type="dxa"/>
              <w:right w:w="120" w:type="dxa"/>
            </w:tcMar>
          </w:tcPr>
          <w:p>
            <w:pPr>
              <w:pStyle w:val="a1"/>
              <w:bidi w:val="0"/>
              <w:ind w:left="0" w:firstLine="0" w:leftChars="0" w:firstLineChars="0"/>
            </w:pPr>
            <w:r>
              <w:t>威胁发生的频率中等，每半年至一年可能发生一次，如网络设备配置错误导致的安全漏洞、内部人员误操作等</w:t>
            </w:r>
          </w:p>
        </w:tc>
      </w:tr>
      <w:tr>
        <w:tblPrEx>
          <w:tblW w:w="0" w:type="auto"/>
          <w:tblInd w:w="0" w:type="dxa"/>
          <w:tblLayout w:type="fixed"/>
          <w:tblCellMar>
            <w:top w:w="0" w:type="dxa"/>
            <w:left w:w="10" w:type="dxa"/>
            <w:bottom w:w="0" w:type="dxa"/>
            <w:right w:w="10" w:type="dxa"/>
          </w:tblCellMar>
        </w:tblPrEx>
        <w:tc>
          <w:tcPr>
            <w:tcW w:w="788" w:type="dxa"/>
            <w:tcMar>
              <w:top w:w="60" w:type="dxa"/>
              <w:left w:w="120" w:type="dxa"/>
              <w:bottom w:w="30" w:type="dxa"/>
              <w:right w:w="120" w:type="dxa"/>
            </w:tcMar>
          </w:tcPr>
          <w:p>
            <w:pPr>
              <w:pStyle w:val="a1"/>
              <w:bidi w:val="0"/>
              <w:ind w:left="0" w:firstLine="0" w:leftChars="0" w:firstLineChars="0"/>
            </w:pPr>
            <w:r>
              <w:t>2</w:t>
            </w:r>
          </w:p>
        </w:tc>
        <w:tc>
          <w:tcPr>
            <w:tcW w:w="1020" w:type="dxa"/>
            <w:tcMar>
              <w:top w:w="60" w:type="dxa"/>
              <w:left w:w="120" w:type="dxa"/>
              <w:bottom w:w="30" w:type="dxa"/>
              <w:right w:w="120" w:type="dxa"/>
            </w:tcMar>
          </w:tcPr>
          <w:p>
            <w:pPr>
              <w:pStyle w:val="a1"/>
              <w:bidi w:val="0"/>
              <w:ind w:left="0" w:firstLine="0" w:leftChars="0" w:firstLineChars="0"/>
            </w:pPr>
            <w:r>
              <w:t>低</w:t>
            </w:r>
          </w:p>
        </w:tc>
        <w:tc>
          <w:tcPr>
            <w:tcW w:w="6472" w:type="dxa"/>
            <w:tcMar>
              <w:top w:w="60" w:type="dxa"/>
              <w:left w:w="120" w:type="dxa"/>
              <w:bottom w:w="30" w:type="dxa"/>
              <w:right w:w="120" w:type="dxa"/>
            </w:tcMar>
          </w:tcPr>
          <w:p>
            <w:pPr>
              <w:pStyle w:val="a1"/>
              <w:bidi w:val="0"/>
              <w:ind w:left="0" w:firstLine="0" w:leftChars="0" w:firstLineChars="0"/>
            </w:pPr>
            <w:r>
              <w:t>威胁发生的频率较低，1-3年可能发生一次，如硬件设备意外故障、轻微的自然灾害影响等</w:t>
            </w:r>
          </w:p>
        </w:tc>
      </w:tr>
      <w:tr>
        <w:tblPrEx>
          <w:tblW w:w="0" w:type="auto"/>
          <w:tblInd w:w="0" w:type="dxa"/>
          <w:tblLayout w:type="fixed"/>
          <w:tblCellMar>
            <w:top w:w="0" w:type="dxa"/>
            <w:left w:w="10" w:type="dxa"/>
            <w:bottom w:w="0" w:type="dxa"/>
            <w:right w:w="10" w:type="dxa"/>
          </w:tblCellMar>
        </w:tblPrEx>
        <w:tc>
          <w:tcPr>
            <w:tcW w:w="788" w:type="dxa"/>
            <w:tcMar>
              <w:top w:w="60" w:type="dxa"/>
              <w:left w:w="120" w:type="dxa"/>
              <w:bottom w:w="30" w:type="dxa"/>
              <w:right w:w="120" w:type="dxa"/>
            </w:tcMar>
          </w:tcPr>
          <w:p>
            <w:pPr>
              <w:pStyle w:val="a1"/>
              <w:bidi w:val="0"/>
              <w:ind w:left="0" w:firstLine="0" w:leftChars="0" w:firstLineChars="0"/>
            </w:pPr>
            <w:r>
              <w:t>1</w:t>
            </w:r>
          </w:p>
        </w:tc>
        <w:tc>
          <w:tcPr>
            <w:tcW w:w="1020" w:type="dxa"/>
            <w:tcMar>
              <w:top w:w="60" w:type="dxa"/>
              <w:left w:w="120" w:type="dxa"/>
              <w:bottom w:w="30" w:type="dxa"/>
              <w:right w:w="120" w:type="dxa"/>
            </w:tcMar>
          </w:tcPr>
          <w:p>
            <w:pPr>
              <w:pStyle w:val="a1"/>
              <w:bidi w:val="0"/>
              <w:ind w:left="0" w:firstLine="0" w:leftChars="0" w:firstLineChars="0"/>
            </w:pPr>
            <w:r>
              <w:t>很低</w:t>
            </w:r>
          </w:p>
        </w:tc>
        <w:tc>
          <w:tcPr>
            <w:tcW w:w="6472" w:type="dxa"/>
            <w:tcMar>
              <w:top w:w="60" w:type="dxa"/>
              <w:left w:w="120" w:type="dxa"/>
              <w:bottom w:w="30" w:type="dxa"/>
              <w:right w:w="120" w:type="dxa"/>
            </w:tcMar>
          </w:tcPr>
          <w:p>
            <w:pPr>
              <w:pStyle w:val="a1"/>
              <w:bidi w:val="0"/>
              <w:ind w:left="0" w:firstLine="0" w:leftChars="0" w:firstLineChars="0"/>
            </w:pPr>
            <w:r>
              <w:t>威胁发生的频率极低，3年以上才可能发生一次，如重大自然灾害直接破坏机房、高级持续性威胁（APT）针对本企业的定向攻击等</w:t>
            </w:r>
          </w:p>
        </w:tc>
      </w:tr>
    </w:tbl>
    <w:p>
      <w:pPr>
        <w:pStyle w:val="2"/>
        <w:bidi w:val="0"/>
      </w:pPr>
      <w:bookmarkStart w:id="68" w:name="heading_35"/>
      <w:bookmarkStart w:id="69" w:name="_Toc23614"/>
      <w:r>
        <w:t>脆弱性评估</w:t>
      </w:r>
      <w:bookmarkEnd w:id="68"/>
      <w:bookmarkEnd w:id="69"/>
    </w:p>
    <w:p>
      <w:pPr>
        <w:pStyle w:val="a1"/>
        <w:bidi w:val="0"/>
      </w:pPr>
      <w:r>
        <w:t>脆弱性是指资产中存在的可能被威胁利用的缺陷或弱点，包括技术层面和管理层面的脆弱性，其存在会增加安全事件发生的可能性及造成的影响程度。脆弱性评估需结合资产特性、业务场景，从物理环境、网络架构、系统配置、数据管理、人员操作等多维度展开。</w:t>
      </w:r>
    </w:p>
    <w:p>
      <w:pPr>
        <w:pStyle w:val="a1"/>
        <w:bidi w:val="0"/>
      </w:pPr>
      <w:r>
        <w:t>技术脆弱性主要体现在：网络设备缺少访问控制策略、服务器操作系统未及时更新安全补丁、数据库默认账户未禁用且密码简单、应用系统存在SQL注入或跨站脚本漏洞、数据传输未采用加密技术等。管理脆弱性主要体现在：安全管理制度缺失或不完善、人员安全意识薄弱、权限分配混乱且未定期审计、应急响应流程不明确、安全培训未常态化开展等。</w:t>
      </w:r>
    </w:p>
    <w:p>
      <w:pPr>
        <w:pStyle w:val="a1"/>
        <w:bidi w:val="0"/>
      </w:pPr>
      <w:r>
        <w:t>脆弱性赋值同样采用1-5级标准，等级越高表示脆弱性越严重，被威胁利用的难度越低。赋值需综合考虑脆弱性的暴露程度、利用难度、影响范围，具体标准如下表：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798"/>
        <w:gridCol w:w="860"/>
        <w:gridCol w:w="662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798" w:type="dxa"/>
            <w:tcMar>
              <w:top w:w="60" w:type="dxa"/>
              <w:left w:w="120" w:type="dxa"/>
              <w:bottom w:w="30" w:type="dxa"/>
              <w:right w:w="120" w:type="dxa"/>
            </w:tcMar>
          </w:tcPr>
          <w:p>
            <w:pPr>
              <w:pStyle w:val="a1"/>
              <w:bidi w:val="0"/>
              <w:ind w:left="0" w:firstLine="0" w:leftChars="0" w:firstLineChars="0"/>
            </w:pPr>
            <w:r>
              <w:t>等级</w:t>
            </w:r>
          </w:p>
        </w:tc>
        <w:tc>
          <w:tcPr>
            <w:tcW w:w="860" w:type="dxa"/>
            <w:tcMar>
              <w:top w:w="60" w:type="dxa"/>
              <w:left w:w="120" w:type="dxa"/>
              <w:bottom w:w="30" w:type="dxa"/>
              <w:right w:w="120" w:type="dxa"/>
            </w:tcMar>
          </w:tcPr>
          <w:p>
            <w:pPr>
              <w:pStyle w:val="a1"/>
              <w:bidi w:val="0"/>
              <w:ind w:left="0" w:firstLine="0" w:leftChars="0" w:firstLineChars="0"/>
            </w:pPr>
            <w:r>
              <w:t>标识</w:t>
            </w:r>
          </w:p>
        </w:tc>
        <w:tc>
          <w:tcPr>
            <w:tcW w:w="6622" w:type="dxa"/>
            <w:tcMar>
              <w:top w:w="60" w:type="dxa"/>
              <w:left w:w="120" w:type="dxa"/>
              <w:bottom w:w="30" w:type="dxa"/>
              <w:right w:w="120" w:type="dxa"/>
            </w:tcMar>
          </w:tcPr>
          <w:p>
            <w:pPr>
              <w:pStyle w:val="a1"/>
              <w:bidi w:val="0"/>
            </w:pPr>
            <w:r>
              <w:t>定义</w:t>
            </w:r>
          </w:p>
        </w:tc>
      </w:tr>
      <w:tr>
        <w:tblPrEx>
          <w:tblW w:w="0" w:type="auto"/>
          <w:tblInd w:w="0" w:type="dxa"/>
          <w:tblLayout w:type="fixed"/>
          <w:tblCellMar>
            <w:top w:w="0" w:type="dxa"/>
            <w:left w:w="10" w:type="dxa"/>
            <w:bottom w:w="0" w:type="dxa"/>
            <w:right w:w="10" w:type="dxa"/>
          </w:tblCellMar>
        </w:tblPrEx>
        <w:tc>
          <w:tcPr>
            <w:tcW w:w="798" w:type="dxa"/>
            <w:tcMar>
              <w:top w:w="60" w:type="dxa"/>
              <w:left w:w="120" w:type="dxa"/>
              <w:bottom w:w="30" w:type="dxa"/>
              <w:right w:w="120" w:type="dxa"/>
            </w:tcMar>
          </w:tcPr>
          <w:p>
            <w:pPr>
              <w:pStyle w:val="a1"/>
              <w:bidi w:val="0"/>
              <w:ind w:left="0" w:firstLine="0" w:leftChars="0" w:firstLineChars="0"/>
            </w:pPr>
            <w:r>
              <w:t>5</w:t>
            </w:r>
          </w:p>
        </w:tc>
        <w:tc>
          <w:tcPr>
            <w:tcW w:w="860" w:type="dxa"/>
            <w:tcMar>
              <w:top w:w="60" w:type="dxa"/>
              <w:left w:w="120" w:type="dxa"/>
              <w:bottom w:w="30" w:type="dxa"/>
              <w:right w:w="120" w:type="dxa"/>
            </w:tcMar>
          </w:tcPr>
          <w:p>
            <w:pPr>
              <w:pStyle w:val="a1"/>
              <w:bidi w:val="0"/>
              <w:ind w:left="0" w:firstLine="0" w:leftChars="0" w:firstLineChars="0"/>
            </w:pPr>
            <w:r>
              <w:t>很高</w:t>
            </w:r>
          </w:p>
        </w:tc>
        <w:tc>
          <w:tcPr>
            <w:tcW w:w="6622" w:type="dxa"/>
            <w:tcMar>
              <w:top w:w="60" w:type="dxa"/>
              <w:left w:w="120" w:type="dxa"/>
              <w:bottom w:w="30" w:type="dxa"/>
              <w:right w:w="120" w:type="dxa"/>
            </w:tcMar>
          </w:tcPr>
          <w:p>
            <w:pPr>
              <w:pStyle w:val="a1"/>
              <w:bidi w:val="0"/>
              <w:ind w:left="0" w:firstLine="0" w:leftChars="0" w:firstLineChars="0"/>
            </w:pPr>
            <w:r>
              <w:t>脆弱性易被发现且利用难度极低，一旦被利用将导致核心资产完全失控，如管理员账户弱口令、核心系统存在公开漏洞且未修复</w:t>
            </w:r>
          </w:p>
        </w:tc>
      </w:tr>
      <w:tr>
        <w:tblPrEx>
          <w:tblW w:w="0" w:type="auto"/>
          <w:tblInd w:w="0" w:type="dxa"/>
          <w:tblLayout w:type="fixed"/>
          <w:tblCellMar>
            <w:top w:w="0" w:type="dxa"/>
            <w:left w:w="10" w:type="dxa"/>
            <w:bottom w:w="0" w:type="dxa"/>
            <w:right w:w="10" w:type="dxa"/>
          </w:tblCellMar>
        </w:tblPrEx>
        <w:tc>
          <w:tcPr>
            <w:tcW w:w="798" w:type="dxa"/>
            <w:tcMar>
              <w:top w:w="60" w:type="dxa"/>
              <w:left w:w="120" w:type="dxa"/>
              <w:bottom w:w="30" w:type="dxa"/>
              <w:right w:w="120" w:type="dxa"/>
            </w:tcMar>
          </w:tcPr>
          <w:p>
            <w:pPr>
              <w:pStyle w:val="a1"/>
              <w:bidi w:val="0"/>
              <w:ind w:left="0" w:firstLine="0" w:leftChars="0" w:firstLineChars="0"/>
            </w:pPr>
            <w:r>
              <w:t>4</w:t>
            </w:r>
          </w:p>
        </w:tc>
        <w:tc>
          <w:tcPr>
            <w:tcW w:w="860" w:type="dxa"/>
            <w:tcMar>
              <w:top w:w="60" w:type="dxa"/>
              <w:left w:w="120" w:type="dxa"/>
              <w:bottom w:w="30" w:type="dxa"/>
              <w:right w:w="120" w:type="dxa"/>
            </w:tcMar>
          </w:tcPr>
          <w:p>
            <w:pPr>
              <w:pStyle w:val="a1"/>
              <w:bidi w:val="0"/>
              <w:ind w:left="0" w:firstLine="0" w:leftChars="0" w:firstLineChars="0"/>
            </w:pPr>
            <w:r>
              <w:t>高</w:t>
            </w:r>
          </w:p>
        </w:tc>
        <w:tc>
          <w:tcPr>
            <w:tcW w:w="6622" w:type="dxa"/>
            <w:tcMar>
              <w:top w:w="60" w:type="dxa"/>
              <w:left w:w="120" w:type="dxa"/>
              <w:bottom w:w="30" w:type="dxa"/>
              <w:right w:w="120" w:type="dxa"/>
            </w:tcMar>
          </w:tcPr>
          <w:p>
            <w:pPr>
              <w:pStyle w:val="a1"/>
              <w:bidi w:val="0"/>
              <w:ind w:left="0" w:firstLine="0" w:leftChars="0" w:firstLineChars="0"/>
            </w:pPr>
            <w:r>
              <w:t>脆弱性较易发现，利用难度低，被利用后将造成重要资产受损，如普通用户权限过高、网络端口随意开放</w:t>
            </w:r>
          </w:p>
        </w:tc>
      </w:tr>
      <w:tr>
        <w:tblPrEx>
          <w:tblW w:w="0" w:type="auto"/>
          <w:tblInd w:w="0" w:type="dxa"/>
          <w:tblLayout w:type="fixed"/>
          <w:tblCellMar>
            <w:top w:w="0" w:type="dxa"/>
            <w:left w:w="10" w:type="dxa"/>
            <w:bottom w:w="0" w:type="dxa"/>
            <w:right w:w="10" w:type="dxa"/>
          </w:tblCellMar>
        </w:tblPrEx>
        <w:tc>
          <w:tcPr>
            <w:tcW w:w="798" w:type="dxa"/>
            <w:tcMar>
              <w:top w:w="60" w:type="dxa"/>
              <w:left w:w="120" w:type="dxa"/>
              <w:bottom w:w="30" w:type="dxa"/>
              <w:right w:w="120" w:type="dxa"/>
            </w:tcMar>
          </w:tcPr>
          <w:p>
            <w:pPr>
              <w:pStyle w:val="a1"/>
              <w:bidi w:val="0"/>
              <w:ind w:left="0" w:firstLine="0" w:leftChars="0" w:firstLineChars="0"/>
            </w:pPr>
            <w:r>
              <w:t>3</w:t>
            </w:r>
          </w:p>
        </w:tc>
        <w:tc>
          <w:tcPr>
            <w:tcW w:w="860" w:type="dxa"/>
            <w:tcMar>
              <w:top w:w="60" w:type="dxa"/>
              <w:left w:w="120" w:type="dxa"/>
              <w:bottom w:w="30" w:type="dxa"/>
              <w:right w:w="120" w:type="dxa"/>
            </w:tcMar>
          </w:tcPr>
          <w:p>
            <w:pPr>
              <w:pStyle w:val="a1"/>
              <w:bidi w:val="0"/>
              <w:ind w:left="0" w:firstLine="0" w:leftChars="0" w:firstLineChars="0"/>
            </w:pPr>
            <w:r>
              <w:t>中等</w:t>
            </w:r>
          </w:p>
        </w:tc>
        <w:tc>
          <w:tcPr>
            <w:tcW w:w="6622" w:type="dxa"/>
            <w:tcMar>
              <w:top w:w="60" w:type="dxa"/>
              <w:left w:w="120" w:type="dxa"/>
              <w:bottom w:w="30" w:type="dxa"/>
              <w:right w:w="120" w:type="dxa"/>
            </w:tcMar>
          </w:tcPr>
          <w:p>
            <w:pPr>
              <w:pStyle w:val="a1"/>
              <w:bidi w:val="0"/>
              <w:ind w:left="0" w:firstLine="0" w:leftChars="0" w:firstLineChars="0"/>
            </w:pPr>
            <w:r>
              <w:t>脆弱性需一定技术手段才能发现，利用难度中等，被利用后影响范围有限，如非核心系统补丁更新延迟、数据备份频率不足</w:t>
            </w:r>
          </w:p>
        </w:tc>
      </w:tr>
      <w:tr>
        <w:tblPrEx>
          <w:tblW w:w="0" w:type="auto"/>
          <w:tblInd w:w="0" w:type="dxa"/>
          <w:tblLayout w:type="fixed"/>
          <w:tblCellMar>
            <w:top w:w="0" w:type="dxa"/>
            <w:left w:w="10" w:type="dxa"/>
            <w:bottom w:w="0" w:type="dxa"/>
            <w:right w:w="10" w:type="dxa"/>
          </w:tblCellMar>
        </w:tblPrEx>
        <w:tc>
          <w:tcPr>
            <w:tcW w:w="798" w:type="dxa"/>
            <w:tcMar>
              <w:top w:w="60" w:type="dxa"/>
              <w:left w:w="120" w:type="dxa"/>
              <w:bottom w:w="30" w:type="dxa"/>
              <w:right w:w="120" w:type="dxa"/>
            </w:tcMar>
          </w:tcPr>
          <w:p>
            <w:pPr>
              <w:pStyle w:val="a1"/>
              <w:bidi w:val="0"/>
              <w:ind w:left="0" w:firstLine="0" w:leftChars="0" w:firstLineChars="0"/>
            </w:pPr>
            <w:r>
              <w:t>2</w:t>
            </w:r>
          </w:p>
        </w:tc>
        <w:tc>
          <w:tcPr>
            <w:tcW w:w="860" w:type="dxa"/>
            <w:tcMar>
              <w:top w:w="60" w:type="dxa"/>
              <w:left w:w="120" w:type="dxa"/>
              <w:bottom w:w="30" w:type="dxa"/>
              <w:right w:w="120" w:type="dxa"/>
            </w:tcMar>
          </w:tcPr>
          <w:p>
            <w:pPr>
              <w:pStyle w:val="a1"/>
              <w:bidi w:val="0"/>
              <w:ind w:left="0" w:firstLine="0" w:leftChars="0" w:firstLineChars="0"/>
            </w:pPr>
            <w:r>
              <w:t>低</w:t>
            </w:r>
          </w:p>
        </w:tc>
        <w:tc>
          <w:tcPr>
            <w:tcW w:w="6622" w:type="dxa"/>
            <w:tcMar>
              <w:top w:w="60" w:type="dxa"/>
              <w:left w:w="120" w:type="dxa"/>
              <w:bottom w:w="30" w:type="dxa"/>
              <w:right w:w="120" w:type="dxa"/>
            </w:tcMar>
          </w:tcPr>
          <w:p>
            <w:pPr>
              <w:pStyle w:val="a1"/>
              <w:bidi w:val="0"/>
              <w:ind w:left="0" w:firstLine="0" w:leftChars="0" w:firstLineChars="0"/>
            </w:pPr>
            <w:r>
              <w:t>脆弱性发现难度较大，利用条件苛刻，被利用后仅造成轻微影响，如办公终端缺少屏保密码、非敏感数据存储未加密</w:t>
            </w:r>
          </w:p>
        </w:tc>
      </w:tr>
      <w:tr>
        <w:tblPrEx>
          <w:tblW w:w="0" w:type="auto"/>
          <w:tblInd w:w="0" w:type="dxa"/>
          <w:tblLayout w:type="fixed"/>
          <w:tblCellMar>
            <w:top w:w="0" w:type="dxa"/>
            <w:left w:w="10" w:type="dxa"/>
            <w:bottom w:w="0" w:type="dxa"/>
            <w:right w:w="10" w:type="dxa"/>
          </w:tblCellMar>
        </w:tblPrEx>
        <w:tc>
          <w:tcPr>
            <w:tcW w:w="798" w:type="dxa"/>
            <w:tcMar>
              <w:top w:w="60" w:type="dxa"/>
              <w:left w:w="120" w:type="dxa"/>
              <w:bottom w:w="30" w:type="dxa"/>
              <w:right w:w="120" w:type="dxa"/>
            </w:tcMar>
          </w:tcPr>
          <w:p>
            <w:pPr>
              <w:pStyle w:val="a1"/>
              <w:bidi w:val="0"/>
              <w:ind w:left="0" w:firstLine="0" w:leftChars="0" w:firstLineChars="0"/>
            </w:pPr>
            <w:r>
              <w:t>1</w:t>
            </w:r>
          </w:p>
        </w:tc>
        <w:tc>
          <w:tcPr>
            <w:tcW w:w="860" w:type="dxa"/>
            <w:tcMar>
              <w:top w:w="60" w:type="dxa"/>
              <w:left w:w="120" w:type="dxa"/>
              <w:bottom w:w="30" w:type="dxa"/>
              <w:right w:w="120" w:type="dxa"/>
            </w:tcMar>
          </w:tcPr>
          <w:p>
            <w:pPr>
              <w:pStyle w:val="a1"/>
              <w:bidi w:val="0"/>
              <w:ind w:left="0" w:firstLine="0" w:leftChars="0" w:firstLineChars="0"/>
            </w:pPr>
            <w:r>
              <w:t>很低</w:t>
            </w:r>
          </w:p>
        </w:tc>
        <w:tc>
          <w:tcPr>
            <w:tcW w:w="6622" w:type="dxa"/>
            <w:tcMar>
              <w:top w:w="60" w:type="dxa"/>
              <w:left w:w="120" w:type="dxa"/>
              <w:bottom w:w="30" w:type="dxa"/>
              <w:right w:w="120" w:type="dxa"/>
            </w:tcMar>
          </w:tcPr>
          <w:p>
            <w:pPr>
              <w:pStyle w:val="a1"/>
              <w:bidi w:val="0"/>
              <w:ind w:left="0" w:firstLine="0" w:leftChars="0" w:firstLineChars="0"/>
            </w:pPr>
            <w:r>
              <w:t>脆弱性几乎难以发现，利用需特殊条件，被利用后无实质影响，如历史遗留的无用账户未及时清理（无权限）</w:t>
            </w:r>
          </w:p>
        </w:tc>
      </w:tr>
    </w:tbl>
    <w:p>
      <w:pPr>
        <w:pStyle w:val="2"/>
        <w:bidi w:val="0"/>
      </w:pPr>
      <w:bookmarkStart w:id="70" w:name="heading_36"/>
      <w:bookmarkStart w:id="71" w:name="_Toc17374"/>
      <w:r>
        <w:t>风险评估分析</w:t>
      </w:r>
      <w:bookmarkEnd w:id="70"/>
      <w:bookmarkEnd w:id="71"/>
    </w:p>
    <w:p>
      <w:pPr>
        <w:pStyle w:val="a1"/>
        <w:bidi w:val="0"/>
      </w:pPr>
      <w:r>
        <w:t>风险评估分析是通过综合资产价值、威胁发生可能性及脆弱性严重程度，计算风险值并确定风险等级的过程，核心公式为：风险值=资产价值等级×威胁可能性等级×脆弱性严重程度等级。通过该公式计算得出的风险值，对应以下标准确定风险等级，为后续风险处置提供依据。</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518"/>
        <w:gridCol w:w="1250"/>
        <w:gridCol w:w="551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518" w:type="dxa"/>
            <w:tcMar>
              <w:top w:w="60" w:type="dxa"/>
              <w:left w:w="120" w:type="dxa"/>
              <w:bottom w:w="30" w:type="dxa"/>
              <w:right w:w="120" w:type="dxa"/>
            </w:tcMar>
          </w:tcPr>
          <w:p>
            <w:pPr>
              <w:pStyle w:val="a1"/>
              <w:bidi w:val="0"/>
              <w:ind w:left="0" w:firstLine="0" w:leftChars="0" w:firstLineChars="0"/>
            </w:pPr>
            <w:r>
              <w:t>风险值范围</w:t>
            </w:r>
          </w:p>
        </w:tc>
        <w:tc>
          <w:tcPr>
            <w:tcW w:w="1250" w:type="dxa"/>
            <w:tcMar>
              <w:top w:w="60" w:type="dxa"/>
              <w:left w:w="120" w:type="dxa"/>
              <w:bottom w:w="30" w:type="dxa"/>
              <w:right w:w="120" w:type="dxa"/>
            </w:tcMar>
          </w:tcPr>
          <w:p>
            <w:pPr>
              <w:pStyle w:val="a1"/>
              <w:bidi w:val="0"/>
              <w:ind w:left="0" w:firstLine="0" w:leftChars="0" w:firstLineChars="0"/>
            </w:pPr>
            <w:r>
              <w:t>风险等级</w:t>
            </w:r>
          </w:p>
        </w:tc>
        <w:tc>
          <w:tcPr>
            <w:tcW w:w="5512" w:type="dxa"/>
            <w:tcMar>
              <w:top w:w="60" w:type="dxa"/>
              <w:left w:w="120" w:type="dxa"/>
              <w:bottom w:w="30" w:type="dxa"/>
              <w:right w:w="120" w:type="dxa"/>
            </w:tcMar>
          </w:tcPr>
          <w:p>
            <w:pPr>
              <w:pStyle w:val="a1"/>
              <w:bidi w:val="0"/>
              <w:ind w:left="0" w:firstLine="0" w:leftChars="0" w:firstLineChars="0"/>
            </w:pPr>
            <w:r>
              <w:t>处置优先级及应对措施</w:t>
            </w:r>
          </w:p>
        </w:tc>
      </w:tr>
      <w:tr>
        <w:tblPrEx>
          <w:tblW w:w="0" w:type="auto"/>
          <w:tblInd w:w="0" w:type="dxa"/>
          <w:tblLayout w:type="fixed"/>
          <w:tblCellMar>
            <w:top w:w="0" w:type="dxa"/>
            <w:left w:w="10" w:type="dxa"/>
            <w:bottom w:w="0" w:type="dxa"/>
            <w:right w:w="10" w:type="dxa"/>
          </w:tblCellMar>
        </w:tblPrEx>
        <w:tc>
          <w:tcPr>
            <w:tcW w:w="1518" w:type="dxa"/>
            <w:tcMar>
              <w:top w:w="60" w:type="dxa"/>
              <w:left w:w="120" w:type="dxa"/>
              <w:bottom w:w="30" w:type="dxa"/>
              <w:right w:w="120" w:type="dxa"/>
            </w:tcMar>
          </w:tcPr>
          <w:p>
            <w:pPr>
              <w:pStyle w:val="a1"/>
              <w:bidi w:val="0"/>
              <w:ind w:left="0" w:firstLine="0" w:leftChars="0" w:firstLineChars="0"/>
            </w:pPr>
            <w:r>
              <w:t>75-125</w:t>
            </w:r>
          </w:p>
        </w:tc>
        <w:tc>
          <w:tcPr>
            <w:tcW w:w="1250" w:type="dxa"/>
            <w:tcMar>
              <w:top w:w="60" w:type="dxa"/>
              <w:left w:w="120" w:type="dxa"/>
              <w:bottom w:w="30" w:type="dxa"/>
              <w:right w:w="120" w:type="dxa"/>
            </w:tcMar>
          </w:tcPr>
          <w:p>
            <w:pPr>
              <w:pStyle w:val="a1"/>
              <w:bidi w:val="0"/>
              <w:ind w:left="0" w:firstLine="0" w:leftChars="0" w:firstLineChars="0"/>
            </w:pPr>
            <w:r>
              <w:t>极高风险</w:t>
            </w:r>
          </w:p>
        </w:tc>
        <w:tc>
          <w:tcPr>
            <w:tcW w:w="5512" w:type="dxa"/>
            <w:tcMar>
              <w:top w:w="60" w:type="dxa"/>
              <w:left w:w="120" w:type="dxa"/>
              <w:bottom w:w="30" w:type="dxa"/>
              <w:right w:w="120" w:type="dxa"/>
            </w:tcMar>
          </w:tcPr>
          <w:p>
            <w:pPr>
              <w:pStyle w:val="a1"/>
              <w:bidi w:val="0"/>
              <w:ind w:left="0" w:firstLine="0" w:leftChars="0" w:firstLineChars="0"/>
            </w:pPr>
            <w:r>
              <w:t>最高优先级：立即启动应急响应，24小时内制定整改方案并实施，如核心数据库被入侵风险</w:t>
            </w:r>
          </w:p>
        </w:tc>
      </w:tr>
      <w:tr>
        <w:tblPrEx>
          <w:tblW w:w="0" w:type="auto"/>
          <w:tblInd w:w="0" w:type="dxa"/>
          <w:tblLayout w:type="fixed"/>
          <w:tblCellMar>
            <w:top w:w="0" w:type="dxa"/>
            <w:left w:w="10" w:type="dxa"/>
            <w:bottom w:w="0" w:type="dxa"/>
            <w:right w:w="10" w:type="dxa"/>
          </w:tblCellMar>
        </w:tblPrEx>
        <w:tc>
          <w:tcPr>
            <w:tcW w:w="1518" w:type="dxa"/>
            <w:tcMar>
              <w:top w:w="60" w:type="dxa"/>
              <w:left w:w="120" w:type="dxa"/>
              <w:bottom w:w="30" w:type="dxa"/>
              <w:right w:w="120" w:type="dxa"/>
            </w:tcMar>
          </w:tcPr>
          <w:p>
            <w:pPr>
              <w:pStyle w:val="a1"/>
              <w:bidi w:val="0"/>
              <w:ind w:left="0" w:firstLine="0" w:leftChars="0" w:firstLineChars="0"/>
            </w:pPr>
            <w:r>
              <w:t>36-74</w:t>
            </w:r>
          </w:p>
        </w:tc>
        <w:tc>
          <w:tcPr>
            <w:tcW w:w="1250" w:type="dxa"/>
            <w:tcMar>
              <w:top w:w="60" w:type="dxa"/>
              <w:left w:w="120" w:type="dxa"/>
              <w:bottom w:w="30" w:type="dxa"/>
              <w:right w:w="120" w:type="dxa"/>
            </w:tcMar>
          </w:tcPr>
          <w:p>
            <w:pPr>
              <w:pStyle w:val="a1"/>
              <w:bidi w:val="0"/>
              <w:ind w:left="0" w:firstLine="0" w:leftChars="0" w:firstLineChars="0"/>
            </w:pPr>
            <w:r>
              <w:t>高风险</w:t>
            </w:r>
          </w:p>
        </w:tc>
        <w:tc>
          <w:tcPr>
            <w:tcW w:w="5512" w:type="dxa"/>
            <w:tcMar>
              <w:top w:w="60" w:type="dxa"/>
              <w:left w:w="120" w:type="dxa"/>
              <w:bottom w:w="30" w:type="dxa"/>
              <w:right w:w="120" w:type="dxa"/>
            </w:tcMar>
          </w:tcPr>
          <w:p>
            <w:pPr>
              <w:pStyle w:val="a1"/>
              <w:bidi w:val="0"/>
              <w:ind w:left="0" w:firstLine="0" w:leftChars="0" w:firstLineChars="0"/>
            </w:pPr>
            <w:r>
              <w:t>高优先级：7个工作日内完成整改，期间采取临时防护措施，如服务器存在高危漏洞</w:t>
            </w:r>
          </w:p>
        </w:tc>
      </w:tr>
      <w:tr>
        <w:tblPrEx>
          <w:tblW w:w="0" w:type="auto"/>
          <w:tblInd w:w="0" w:type="dxa"/>
          <w:tblLayout w:type="fixed"/>
          <w:tblCellMar>
            <w:top w:w="0" w:type="dxa"/>
            <w:left w:w="10" w:type="dxa"/>
            <w:bottom w:w="0" w:type="dxa"/>
            <w:right w:w="10" w:type="dxa"/>
          </w:tblCellMar>
        </w:tblPrEx>
        <w:tc>
          <w:tcPr>
            <w:tcW w:w="1518" w:type="dxa"/>
            <w:tcMar>
              <w:top w:w="60" w:type="dxa"/>
              <w:left w:w="120" w:type="dxa"/>
              <w:bottom w:w="30" w:type="dxa"/>
              <w:right w:w="120" w:type="dxa"/>
            </w:tcMar>
          </w:tcPr>
          <w:p>
            <w:pPr>
              <w:pStyle w:val="a1"/>
              <w:bidi w:val="0"/>
              <w:ind w:left="0" w:firstLine="0" w:leftChars="0" w:firstLineChars="0"/>
            </w:pPr>
            <w:r>
              <w:t>8-35</w:t>
            </w:r>
          </w:p>
        </w:tc>
        <w:tc>
          <w:tcPr>
            <w:tcW w:w="1250" w:type="dxa"/>
            <w:tcMar>
              <w:top w:w="60" w:type="dxa"/>
              <w:left w:w="120" w:type="dxa"/>
              <w:bottom w:w="30" w:type="dxa"/>
              <w:right w:w="120" w:type="dxa"/>
            </w:tcMar>
          </w:tcPr>
          <w:p>
            <w:pPr>
              <w:pStyle w:val="a1"/>
              <w:bidi w:val="0"/>
              <w:ind w:left="0" w:firstLine="0" w:leftChars="0" w:firstLineChars="0"/>
            </w:pPr>
            <w:r>
              <w:t>中等风险</w:t>
            </w:r>
          </w:p>
        </w:tc>
        <w:tc>
          <w:tcPr>
            <w:tcW w:w="5512" w:type="dxa"/>
            <w:tcMar>
              <w:top w:w="60" w:type="dxa"/>
              <w:left w:w="120" w:type="dxa"/>
              <w:bottom w:w="30" w:type="dxa"/>
              <w:right w:w="120" w:type="dxa"/>
            </w:tcMar>
          </w:tcPr>
          <w:p>
            <w:pPr>
              <w:pStyle w:val="a1"/>
              <w:bidi w:val="0"/>
              <w:ind w:left="0" w:firstLine="0" w:leftChars="0" w:firstLineChars="0"/>
            </w:pPr>
            <w:r>
              <w:t>中优先级：30个工作日内完成整改，定期跟踪风险变化，如权限分配不合理</w:t>
            </w:r>
          </w:p>
        </w:tc>
      </w:tr>
      <w:tr>
        <w:tblPrEx>
          <w:tblW w:w="0" w:type="auto"/>
          <w:tblInd w:w="0" w:type="dxa"/>
          <w:tblLayout w:type="fixed"/>
          <w:tblCellMar>
            <w:top w:w="0" w:type="dxa"/>
            <w:left w:w="10" w:type="dxa"/>
            <w:bottom w:w="0" w:type="dxa"/>
            <w:right w:w="10" w:type="dxa"/>
          </w:tblCellMar>
        </w:tblPrEx>
        <w:tc>
          <w:tcPr>
            <w:tcW w:w="1518" w:type="dxa"/>
            <w:tcMar>
              <w:top w:w="60" w:type="dxa"/>
              <w:left w:w="120" w:type="dxa"/>
              <w:bottom w:w="30" w:type="dxa"/>
              <w:right w:w="120" w:type="dxa"/>
            </w:tcMar>
          </w:tcPr>
          <w:p>
            <w:pPr>
              <w:pStyle w:val="a1"/>
              <w:bidi w:val="0"/>
              <w:ind w:left="0" w:firstLine="0" w:leftChars="0" w:firstLineChars="0"/>
            </w:pPr>
            <w:r>
              <w:t>2-7</w:t>
            </w:r>
          </w:p>
        </w:tc>
        <w:tc>
          <w:tcPr>
            <w:tcW w:w="1250" w:type="dxa"/>
            <w:tcMar>
              <w:top w:w="60" w:type="dxa"/>
              <w:left w:w="120" w:type="dxa"/>
              <w:bottom w:w="30" w:type="dxa"/>
              <w:right w:w="120" w:type="dxa"/>
            </w:tcMar>
          </w:tcPr>
          <w:p>
            <w:pPr>
              <w:pStyle w:val="a1"/>
              <w:bidi w:val="0"/>
              <w:ind w:left="0" w:firstLine="0" w:leftChars="0" w:firstLineChars="0"/>
            </w:pPr>
            <w:r>
              <w:t>低风险</w:t>
            </w:r>
          </w:p>
        </w:tc>
        <w:tc>
          <w:tcPr>
            <w:tcW w:w="5512" w:type="dxa"/>
            <w:tcMar>
              <w:top w:w="60" w:type="dxa"/>
              <w:left w:w="120" w:type="dxa"/>
              <w:bottom w:w="30" w:type="dxa"/>
              <w:right w:w="120" w:type="dxa"/>
            </w:tcMar>
          </w:tcPr>
          <w:p>
            <w:pPr>
              <w:pStyle w:val="a1"/>
              <w:bidi w:val="0"/>
              <w:ind w:left="0" w:firstLine="0" w:leftChars="0" w:firstLineChars="0"/>
            </w:pPr>
            <w:r>
              <w:t>低优先级：纳入常规安全优化计划，季度内完成整改，如办公终端安全配置不规范</w:t>
            </w:r>
          </w:p>
        </w:tc>
      </w:tr>
      <w:tr>
        <w:tblPrEx>
          <w:tblW w:w="0" w:type="auto"/>
          <w:tblInd w:w="0" w:type="dxa"/>
          <w:tblLayout w:type="fixed"/>
          <w:tblCellMar>
            <w:top w:w="0" w:type="dxa"/>
            <w:left w:w="10" w:type="dxa"/>
            <w:bottom w:w="0" w:type="dxa"/>
            <w:right w:w="10" w:type="dxa"/>
          </w:tblCellMar>
        </w:tblPrEx>
        <w:tc>
          <w:tcPr>
            <w:tcW w:w="1518" w:type="dxa"/>
            <w:tcMar>
              <w:top w:w="60" w:type="dxa"/>
              <w:left w:w="120" w:type="dxa"/>
              <w:bottom w:w="30" w:type="dxa"/>
              <w:right w:w="120" w:type="dxa"/>
            </w:tcMar>
          </w:tcPr>
          <w:p>
            <w:pPr>
              <w:pStyle w:val="a1"/>
              <w:bidi w:val="0"/>
              <w:ind w:left="0" w:firstLine="0" w:leftChars="0" w:firstLineChars="0"/>
            </w:pPr>
            <w:r>
              <w:t>1</w:t>
            </w:r>
          </w:p>
        </w:tc>
        <w:tc>
          <w:tcPr>
            <w:tcW w:w="1250" w:type="dxa"/>
            <w:tcMar>
              <w:top w:w="60" w:type="dxa"/>
              <w:left w:w="120" w:type="dxa"/>
              <w:bottom w:w="30" w:type="dxa"/>
              <w:right w:w="120" w:type="dxa"/>
            </w:tcMar>
          </w:tcPr>
          <w:p>
            <w:pPr>
              <w:pStyle w:val="a1"/>
              <w:bidi w:val="0"/>
              <w:ind w:left="0" w:firstLine="0" w:leftChars="0" w:firstLineChars="0"/>
            </w:pPr>
            <w:r>
              <w:t>极低风险</w:t>
            </w:r>
          </w:p>
        </w:tc>
        <w:tc>
          <w:tcPr>
            <w:tcW w:w="5512" w:type="dxa"/>
            <w:tcMar>
              <w:top w:w="60" w:type="dxa"/>
              <w:left w:w="120" w:type="dxa"/>
              <w:bottom w:w="30" w:type="dxa"/>
              <w:right w:w="120" w:type="dxa"/>
            </w:tcMar>
          </w:tcPr>
          <w:p>
            <w:pPr>
              <w:pStyle w:val="a1"/>
              <w:bidi w:val="0"/>
              <w:ind w:left="0" w:firstLine="0" w:leftChars="0" w:firstLineChars="0"/>
            </w:pPr>
            <w:r>
              <w:t>观察优先级：无需立即整改，定期监测即可，如无权限的历史账户</w:t>
            </w:r>
          </w:p>
        </w:tc>
      </w:tr>
    </w:tbl>
    <w:p>
      <w:pPr>
        <w:pStyle w:val="a1"/>
        <w:bidi w:val="0"/>
      </w:pPr>
      <w:r>
        <w:t>风险评估分析需形成《信息安全风险评估分析报告》，明确各风险点的具体位置、影响范围、计算依据及初步处置建议，提交信息安全管理负责人及相关部门经理审核。</w:t>
      </w:r>
    </w:p>
    <w:p>
      <w:pPr>
        <w:pStyle w:val="2"/>
        <w:bidi w:val="0"/>
      </w:pPr>
      <w:bookmarkStart w:id="72" w:name="heading_37"/>
      <w:bookmarkStart w:id="73" w:name="_Toc25285"/>
      <w:r>
        <w:t>7.9 设计安全规范</w:t>
      </w:r>
      <w:bookmarkEnd w:id="72"/>
      <w:bookmarkEnd w:id="73"/>
    </w:p>
    <w:p>
      <w:pPr>
        <w:pStyle w:val="a1"/>
        <w:bidi w:val="0"/>
      </w:pPr>
      <w:r>
        <w:t>设计安全规范需以风险评估结果为核心依据，结合国家相关标准（如GB/T 22080-2016）、行业最佳实践及客户SLA中的安全要求，从物理环境、网络架构、系统安全、数据安全、人员管理等维度制定全面、可落地的安全规范体系，确保覆盖所有高风险及中等风险点。</w:t>
      </w:r>
    </w:p>
    <w:p>
      <w:pPr>
        <w:pStyle w:val="a1"/>
        <w:bidi w:val="0"/>
      </w:pPr>
      <w:r>
        <w:t>各维度安全规范核心内容包括：</w:t>
      </w:r>
    </w:p>
    <w:p>
      <w:pPr>
        <w:pStyle w:val="a1"/>
        <w:bidi w:val="0"/>
      </w:pPr>
      <w:r>
        <w:t>物理安全规范：明确机房准入管理流程（如双人双锁、门禁权限分级）、环境监控指标（温度18-24℃、湿度40%-60%）、设备巡检周期（每日巡检电源、空调，每周巡检消防设施）、应急处置措施（火灾、漏水应急流程）；</w:t>
      </w:r>
    </w:p>
    <w:p>
      <w:pPr>
        <w:pStyle w:val="a1"/>
        <w:bidi w:val="0"/>
      </w:pPr>
      <w:r>
        <w:t>网络安全规范：规定网络分区策略（核心区、办公区、DMZ区隔离）、防火墙配置规则（最小权限原则）、VPN接入认证要求（双因素认证）、网络日志留存期限（不少于6个月）、定期漏洞扫描周期（每月一次）；</w:t>
      </w:r>
    </w:p>
    <w:p>
      <w:pPr>
        <w:pStyle w:val="a1"/>
        <w:bidi w:val="0"/>
      </w:pPr>
      <w:r>
        <w:t>系统安全规范：明确操作系统（Windows、Linux）安全配置基线（如禁用不必要服务、开启审计日志）、服务器密码策略（长度≥12位，包含大小写字母、数字及特殊字符，每90天更换）、补丁更新流程（高危补丁72小时内安装）、终端安全管理（安装杀毒软件、开启U盘管控）；</w:t>
      </w:r>
    </w:p>
    <w:p>
      <w:pPr>
        <w:pStyle w:val="a1"/>
        <w:bidi w:val="0"/>
      </w:pPr>
      <w:r>
        <w:t>数据安全规范：划分数据安全等级（绝密、机密、秘密、公开），规定不同等级数据的存储方式（绝密数据需加密存储）、传输协议（机密以上数据采用SSL/TLS加密传输）、备份策略（核心数据每日全量备份+实时增量备份，异地存储）、销毁流程（电子数据采用多次覆写，纸质数据粉碎）；</w:t>
      </w:r>
    </w:p>
    <w:p>
      <w:pPr>
        <w:pStyle w:val="a1"/>
        <w:bidi w:val="0"/>
      </w:pPr>
      <w:r>
        <w:t>人员管理规范：明确岗位安全职责（信息安全管理员、系统管理员职责分离）、人员入职安全培训要求（考核合格方可上岗）、权限申请与审批流程（最小必要权限）、离职人员权限回收机制（离职当日完成账号禁用及权限注销）。</w:t>
      </w:r>
    </w:p>
    <w:p>
      <w:pPr>
        <w:pStyle w:val="a1"/>
        <w:bidi w:val="0"/>
      </w:pPr>
      <w:r>
        <w:t>安全规范需经各相关部门评审、信息安全管理负责人审核、公司管理层批准后发布实施，确保规范的权威性和可行性。</w:t>
      </w:r>
    </w:p>
    <w:p>
      <w:pPr>
        <w:pStyle w:val="2"/>
        <w:bidi w:val="0"/>
      </w:pPr>
      <w:bookmarkStart w:id="74" w:name="heading_38"/>
      <w:bookmarkStart w:id="75" w:name="_Toc2670"/>
      <w:r>
        <w:t>实施安全规范</w:t>
      </w:r>
      <w:bookmarkEnd w:id="74"/>
      <w:bookmarkEnd w:id="75"/>
    </w:p>
    <w:p>
      <w:pPr>
        <w:pStyle w:val="a1"/>
        <w:bidi w:val="0"/>
      </w:pPr>
      <w:r>
        <w:t>安全规范的实施需制定详细的实施计划，明确责任部门、责任人、实施步骤、完成时限及资源需求，确保各项规范落地执行。实施过程分为准备、执行、验证三个阶段：</w:t>
      </w:r>
    </w:p>
    <w:p>
      <w:pPr>
        <w:pStyle w:val="a1"/>
        <w:bidi w:val="0"/>
      </w:pPr>
      <w:r>
        <w:t>准备阶段：成立实施专项小组，由信息安全管理负责人牵头，各部门指定联络员配合；组织全员进行安全规范培训，确保相关人员掌握规范要求及操作方法；准备所需的软硬件资源，如杀毒软件、加密工具、门禁设备等。</w:t>
      </w:r>
    </w:p>
    <w:p>
      <w:pPr>
        <w:pStyle w:val="a1"/>
        <w:bidi w:val="0"/>
      </w:pPr>
      <w:r>
        <w:t>执行阶段：各责任部门按照实施计划推进规范落地，如IT部门完成网络分区配置、服务器安全基线加固、数据备份系统部署；行政部门完成机房门禁升级、消防设施检修；人力资源部门完善人员安全管理流程。实施过程中需做好记录，形成《安全规范实施记录表》，详细记录实施内容、时间、遇到的问题及解决措施。</w:t>
      </w:r>
    </w:p>
    <w:p>
      <w:pPr>
        <w:pStyle w:val="a1"/>
        <w:bidi w:val="0"/>
      </w:pPr>
      <w:r>
        <w:t>验证阶段：实施完成后，由专项小组对安全规范的实施效果进行验证，通过现场检查、技术扫描（如漏洞扫描、配置核查）、数据测试等方式，确认各项规范是否达到预期要求。对未达标的项目，督促责任部门限期整改，直至验证通过。</w:t>
      </w:r>
    </w:p>
    <w:p>
      <w:pPr>
        <w:pStyle w:val="2"/>
        <w:bidi w:val="0"/>
      </w:pPr>
      <w:bookmarkStart w:id="76" w:name="heading_39"/>
      <w:bookmarkStart w:id="77" w:name="_Toc13637"/>
      <w:r>
        <w:t>监控安全状况</w:t>
      </w:r>
      <w:bookmarkEnd w:id="76"/>
      <w:bookmarkEnd w:id="77"/>
    </w:p>
    <w:p>
      <w:pPr>
        <w:pStyle w:val="a1"/>
        <w:bidi w:val="0"/>
      </w:pPr>
      <w:r>
        <w:t>为确保安全规范持续有效，需建立常态化的安全状况监控机制，实时监测信息系统的安全状态，及时发现并处置安全隐患及异常事件。监控范围涵盖物理环境、网络运行、系统状态、数据流转、人员操作等方面，具体措施如下：</w:t>
      </w:r>
    </w:p>
    <w:p>
      <w:pPr>
        <w:pStyle w:val="a1"/>
        <w:bidi w:val="0"/>
      </w:pPr>
      <w:r>
        <w:t>物理环境监控：在机房部署温湿度传感器、烟感报警器、漏水检测仪，数据实时上传至监控平台，当指标超出阈值时自动触发报警（短信+邮件通知信息安全管理员）；门禁系统记录所有出入记录，每周进行审计。</w:t>
      </w:r>
    </w:p>
    <w:p>
      <w:pPr>
        <w:pStyle w:val="a1"/>
        <w:bidi w:val="0"/>
      </w:pPr>
      <w:r>
        <w:t>网络安全监控：部署网络入侵检测系统（IDS）、网络入侵防御系统（IPS），实时监测网络流量中的异常行为，如端口扫描、恶意攻击、异常数据传输；利用网络管理平台监控网络设备运行状态，及时发现设备故障或配置异常。</w:t>
      </w:r>
    </w:p>
    <w:p>
      <w:pPr>
        <w:pStyle w:val="a1"/>
        <w:bidi w:val="0"/>
      </w:pPr>
      <w:r>
        <w:t>系统安全监控：在服务器、终端部署安全管理软件，实时监控系统进程、日志信息，及时发现病毒感染、非授权访问、补丁缺失等问题；数据库审计系统监控数据库操作，重点监测批量数据导出、权限变更等敏感操作。</w:t>
      </w:r>
    </w:p>
    <w:p>
      <w:pPr>
        <w:pStyle w:val="a1"/>
        <w:bidi w:val="0"/>
      </w:pPr>
      <w:r>
        <w:t>数据安全监控：通过数据防泄漏（DLP）系统监控敏感数据的传输和使用，防止数据非法外泄；定期检查数据备份情况，验证备份数据的完整性和可恢复性。</w:t>
      </w:r>
    </w:p>
    <w:p>
      <w:pPr>
        <w:pStyle w:val="a1"/>
        <w:bidi w:val="0"/>
      </w:pPr>
      <w:r>
        <w:t>人员操作监控：定期审计用户账户权限及操作日志，发现权限滥用、非授权操作等情况及时处置；通过安全培训效果评估、日常抽查等方式，监控人员安全操作行为。</w:t>
      </w:r>
    </w:p>
    <w:p>
      <w:pPr>
        <w:pStyle w:val="a1"/>
        <w:bidi w:val="0"/>
      </w:pPr>
      <w:r>
        <w:t>监控过程中发现的安全隐患及异常事件，需立即记录并按照《信息安全事件管理流程》进行处置，监控结果需形成《安全状况监控报告》，每周上报信息安全管理负责人，每月进行汇总分析。</w:t>
      </w:r>
    </w:p>
    <w:p>
      <w:pPr>
        <w:pStyle w:val="2"/>
        <w:bidi w:val="0"/>
      </w:pPr>
      <w:bookmarkStart w:id="78" w:name="heading_40"/>
      <w:bookmarkStart w:id="79" w:name="_Toc631"/>
      <w:r>
        <w:t>维护安全规范</w:t>
      </w:r>
      <w:bookmarkEnd w:id="78"/>
      <w:bookmarkEnd w:id="79"/>
    </w:p>
    <w:p>
      <w:pPr>
        <w:pStyle w:val="a1"/>
        <w:bidi w:val="0"/>
      </w:pPr>
      <w:r>
        <w:t>信息安全环境处于动态变化中，如新的威胁技术出现、业务系统升级、法律法规更新等，都可能导致现有安全规范失效或不完善。因此，需建立安全规范的维护机制，确保规范持续适应安全需求。</w:t>
      </w:r>
    </w:p>
    <w:p>
      <w:pPr>
        <w:pStyle w:val="a1"/>
        <w:bidi w:val="0"/>
      </w:pPr>
      <w:r>
        <w:t>维护工作包括日常更新和定期修订：日常更新主要针对紧急情况，如出现重大安全漏洞、新的法律法规发布时，及时对相关规范进行补充或调整，经信息安全管理负责人审核后临时发布；定期修订每年度进行一次，由信息安全管理部门牵头，收集各部门对安全规范的意见和建议，结合年度风险评估结果、监控数据及行业发展趋势，对安全规范进行全面修订，修订流程与初始发布流程一致。</w:t>
      </w:r>
    </w:p>
    <w:p>
      <w:pPr>
        <w:pStyle w:val="a1"/>
        <w:bidi w:val="0"/>
      </w:pPr>
      <w:r>
        <w:t>安全规范的维护记录需妥善保存，包括修订原因、修订内容、审批意见等，确保规范的可追溯性。</w:t>
      </w:r>
    </w:p>
    <w:p>
      <w:pPr>
        <w:pStyle w:val="2"/>
        <w:bidi w:val="0"/>
      </w:pPr>
      <w:bookmarkStart w:id="80" w:name="heading_41"/>
      <w:bookmarkStart w:id="81" w:name="_Toc22572"/>
      <w:r>
        <w:t>风险的处置</w:t>
      </w:r>
      <w:bookmarkEnd w:id="80"/>
      <w:bookmarkEnd w:id="81"/>
    </w:p>
    <w:p>
      <w:pPr>
        <w:pStyle w:val="a1"/>
        <w:bidi w:val="0"/>
      </w:pPr>
      <w:r>
        <w:t>风险处置是针对风险评估分析中识别的风险点，采取相应的处置措施，将风险控制在可接受范围内的过程。处置措施需结合风险等级及业务实际，主要包括风险规避、风险降低、风险转移、风险接受四种方式：</w:t>
      </w:r>
    </w:p>
    <w:p>
      <w:pPr>
        <w:pStyle w:val="a1"/>
        <w:bidi w:val="0"/>
      </w:pPr>
      <w:r>
        <w:t>风险规避：对于极高风险且无法通过其他方式控制的风险，采取放弃相关业务活动或停止使用存在严重缺陷的资产的方式规避风险，如停止使用存在重大安全漏洞且无修复方案的老旧系统。</w:t>
      </w:r>
    </w:p>
    <w:p>
      <w:pPr>
        <w:pStyle w:val="a1"/>
        <w:bidi w:val="0"/>
      </w:pPr>
      <w:r>
        <w:t>风险降低：针对高风险、中等风险点，通过技术手段或管理措施降低风险发生的可能性或影响程度，如为服务器安装防火墙、定期更新补丁以降低被攻击的风险；制定数据备份策略以降低数据丢失的影响。这是最常用的风险处置方式。</w:t>
      </w:r>
    </w:p>
    <w:p>
      <w:pPr>
        <w:pStyle w:val="a1"/>
        <w:bidi w:val="0"/>
      </w:pPr>
      <w:r>
        <w:t>风险转移：对于部分难以自行控制的风险，通过购买保险、签订服务协议等方式将风险转移给第三方，如购买信息安全责任险，将数据泄露造成的经济损失风险转移给保险公司；委托专业的安全服务公司提供漏洞扫描服务。</w:t>
      </w:r>
    </w:p>
    <w:p>
      <w:pPr>
        <w:pStyle w:val="a1"/>
        <w:bidi w:val="0"/>
      </w:pPr>
      <w:r>
        <w:t>风险接受：对于低风险、极低风险点，且处置成本高于风险可能造成的损失时，可选择接受风险，但需定期监测风险变化，确保风险等级未提升。</w:t>
      </w:r>
    </w:p>
    <w:p>
      <w:pPr>
        <w:pStyle w:val="a1"/>
        <w:bidi w:val="0"/>
      </w:pPr>
      <w:r>
        <w:t>风险处置需制定《风险处置计划》，明确各风险点的处置方式、责任部门、完成时限及预期效果，处置完成后需进行验证，确保风险已降至可接受范围，并更新《风险评估报告》。</w:t>
      </w:r>
    </w:p>
    <w:p>
      <w:pPr>
        <w:pStyle w:val="2"/>
        <w:bidi w:val="0"/>
      </w:pPr>
      <w:bookmarkStart w:id="82" w:name="heading_42"/>
      <w:bookmarkStart w:id="83" w:name="_Toc27611"/>
      <w:r>
        <w:t>剩余风险评估</w:t>
      </w:r>
      <w:bookmarkEnd w:id="82"/>
      <w:bookmarkEnd w:id="83"/>
    </w:p>
    <w:p>
      <w:pPr>
        <w:pStyle w:val="a1"/>
        <w:bidi w:val="0"/>
      </w:pPr>
      <w:r>
        <w:t>在实施风险处置措施后，需对剩余风险进行评估，判断剩余风险是否在组织可接受的风险范围内。剩余风险评估的流程与初始风险评估一致，重点评估风险处置措施的有效性及未完全消除的风险点。</w:t>
      </w:r>
    </w:p>
    <w:p>
      <w:pPr>
        <w:pStyle w:val="a1"/>
        <w:bidi w:val="0"/>
      </w:pPr>
      <w:r>
        <w:t>剩余风险评估需关注以下内容：风险处置措施是否达到预期效果，风险发生的可能性及影响程度是否降低；是否因实施风险处置措施产生了新的风险（如引入新的软件导致的兼容性漏洞）；现有剩余风险是否符合公司的风险接受准则。</w:t>
      </w:r>
    </w:p>
    <w:p>
      <w:pPr>
        <w:pStyle w:val="a1"/>
        <w:bidi w:val="0"/>
      </w:pPr>
      <w:r>
        <w:t>若剩余风险仍超出可接受范围，需重新制定风险处置计划，采取进一步的处置措施；若剩余风险在可接受范围内，则将其纳入常态化监控，定期跟踪风险变化。剩余风险评估结果需形成《剩余风险评估报告》，提交信息安全管理负责人及公司管理层审核。</w:t>
      </w:r>
    </w:p>
    <w:p>
      <w:pPr>
        <w:pStyle w:val="2"/>
        <w:bidi w:val="0"/>
      </w:pPr>
      <w:bookmarkStart w:id="84" w:name="heading_43"/>
      <w:bookmarkStart w:id="85" w:name="_Toc19542"/>
      <w:r>
        <w:t>信息安全事件管理</w:t>
      </w:r>
      <w:bookmarkEnd w:id="84"/>
      <w:bookmarkEnd w:id="85"/>
    </w:p>
    <w:p>
      <w:pPr>
        <w:pStyle w:val="a1"/>
        <w:bidi w:val="0"/>
      </w:pPr>
      <w:r>
        <w:t>信息安全事件是指由于自然或人为因素，导致信息系统可用性降低、数据泄露或损坏、服务中断等，对组织造成或可能造成损失的事件。为规范信息安全事件的处置流程，减少事件造成的损失，需建立完善的信息安全事件管理机制。</w:t>
      </w:r>
    </w:p>
    <w:p>
      <w:pPr>
        <w:pStyle w:val="a1"/>
        <w:bidi w:val="0"/>
      </w:pPr>
      <w:r>
        <w:t>信息安全事件分为四级：一级（特别重大事件）：导致核心业务系统中断24小时以上，或敏感数据大量泄露（超过10万条），造成重大经济损失或恶劣社会影响；二级（重大事件）：核心业务系统中断12-24小时，或敏感数据泄露1-10万条，造成较大经济损失；三级（较大事件）：一般业务系统中断6-12小时，或敏感数据泄露1000-10000条；四级（一般事件）：一般业务系统中断6小时以内，或敏感数据泄露少于1000条，影响范围较小。</w:t>
      </w:r>
    </w:p>
    <w:p>
      <w:pPr>
        <w:pStyle w:val="a1"/>
        <w:bidi w:val="0"/>
      </w:pPr>
      <w:r>
        <w:t>信息安全事件管理流程包括事件发现与报告、事件研判与分级、事件处置与控制、事件调查与总结四个阶段：</w:t>
      </w:r>
    </w:p>
    <w:p>
      <w:pPr>
        <w:pStyle w:val="a1"/>
        <w:bidi w:val="0"/>
      </w:pPr>
      <w:r>
        <w:t>事件发现与报告：任何人员发现信息安全事件后，需立即向信息安全管理员报告（可通过电话、邮件、即时通讯工具等方式），报告内容包括事件发生时间、地点、现象、影响范围等。信息安全管理员接到报告后，需在30分钟内初步核实事件情况。</w:t>
      </w:r>
    </w:p>
    <w:p>
      <w:pPr>
        <w:pStyle w:val="a1"/>
        <w:bidi w:val="0"/>
      </w:pPr>
      <w:r>
        <w:t>事件研判与分级：信息安全管理负责人组织专项小组对事件进行研判，根据事件影响范围、损失程度等确定事件等级，并立即向对应层级的管理层报告（一级事件向公司最高管理层报告，二级事件向部门经理及以上报告，三级及以下事件向信息安全管理负责人报告）。</w:t>
      </w:r>
    </w:p>
    <w:p>
      <w:pPr>
        <w:pStyle w:val="a1"/>
        <w:bidi w:val="0"/>
      </w:pPr>
      <w:r>
        <w:t>事件处置与控制：根据事件等级启动相应的应急响应预案，采取止损措施，如隔离受感染的终端、关闭存在漏洞的服务、恢复备份数据等，防止事件扩大。处置过程中需做好详细记录，包括处置措施、时间、参与人员等。</w:t>
      </w:r>
    </w:p>
    <w:p>
      <w:pPr>
        <w:pStyle w:val="a1"/>
        <w:bidi w:val="0"/>
      </w:pPr>
      <w:r>
        <w:t>事件调查与总结：事件处置完成后，专项小组对事件原因进行深入调查，明确责任主体，分析事件暴露出的安全漏洞，并制定整改措施。同时，形成《信息安全事件调查报告》，总结事件处置经验教训，优化应急响应预案及安全规范。</w:t>
      </w:r>
    </w:p>
    <w:p>
      <w:pPr>
        <w:pStyle w:val="a1"/>
        <w:bidi w:val="0"/>
      </w:pPr>
      <w:r>
        <w:t>信息安全事件的处置需遵循“快速响应、果断处置、减少损失、追溯根源”的原则，确保事件得到及时、有效的处理。</w:t>
      </w:r>
    </w:p>
    <w:p>
      <w:pPr>
        <w:pStyle w:val="1"/>
        <w:bidi w:val="0"/>
      </w:pPr>
      <w:bookmarkStart w:id="86" w:name="heading_44"/>
      <w:bookmarkStart w:id="87" w:name="_Toc2689"/>
      <w:r>
        <w:t>信息安全与其他流程的关系</w:t>
      </w:r>
      <w:bookmarkEnd w:id="86"/>
      <w:bookmarkEnd w:id="87"/>
    </w:p>
    <w:p>
      <w:pPr>
        <w:pStyle w:val="a1"/>
        <w:bidi w:val="0"/>
      </w:pPr>
      <w:r>
        <w:t>信息安全管理并非独立运行，需与公司其他管理流程紧密结合，形成协同机制，确保安全要求贯穿于业务全流程。主要关联流程及协同方式如下：</w:t>
      </w:r>
    </w:p>
    <w:p>
      <w:pPr>
        <w:pStyle w:val="a1"/>
        <w:bidi w:val="0"/>
      </w:pPr>
      <w:r>
        <w:t>与服务级别管理流程的关系：服务级别协议（SLA）中需明确信息安全相关的服务指标，如系统可用性、数据安全性等，信息安全管理流程需围绕这些指标制定安全措施，确保SLA的达成；同时，信息安全事件可能影响服务级别指标的实现，需及时向服务级别管理负责人反馈，共同制定应对措施。</w:t>
      </w:r>
    </w:p>
    <w:p>
      <w:pPr>
        <w:pStyle w:val="a1"/>
        <w:bidi w:val="0"/>
      </w:pPr>
      <w:r>
        <w:t>与配置管理流程的关系：配置管理流程需将信息资产（如网络设备、服务器、软件）的配置信息纳入配置管理数据库（CMDB），信息安全管理流程依据CMDB中的配置信息开展资产评估、漏洞扫描等工作；当资产配置发生变更时，配置管理流程需及时通知信息安全管理部门，评估变更可能带来的安全风险。</w:t>
      </w:r>
    </w:p>
    <w:p>
      <w:pPr>
        <w:pStyle w:val="a1"/>
        <w:bidi w:val="0"/>
      </w:pPr>
      <w:r>
        <w:t>与变更管理流程的关系：任何涉及信息系统的变更（如系统升级、网络拓扑调整、权限变更）都需经过信息安全评估，变更管理流程需将信息安全评估作为必要环节，未经安全评估的变更不得实施；信息安全管理部门需参与变更方案的审核，提出安全建议，并在变更实施后验证安全措施的有效性。</w:t>
      </w:r>
    </w:p>
    <w:p>
      <w:pPr>
        <w:pStyle w:val="a1"/>
        <w:bidi w:val="0"/>
      </w:pPr>
      <w:r>
        <w:t>与服务报告管理流程的关系：信息安全管理流程产生的安全状况报告、风险评估报告等需纳入服务报告体系，定期向客户及公司管理层提交，展示信息安全工作成效及存在的风险；同时，服务报告中反映的服务质量问题，需结合信息安全要求进行分析，提出改进措施。</w:t>
      </w:r>
    </w:p>
    <w:p>
      <w:pPr>
        <w:pStyle w:val="a1"/>
        <w:bidi w:val="0"/>
      </w:pPr>
      <w:r>
        <w:t>与人力资源管理流程的关系：人力资源管理流程在人员入职、调岗、离职等环节需同步执行信息安全管理要求，如入职时进行安全培训、调岗时调整权限、离职时回收账号及设备；信息安全管理部门需为人力资源部门提供安全规范支持，共同做好人员安全管理。</w:t>
      </w:r>
    </w:p>
    <w:p>
      <w:pPr>
        <w:pStyle w:val="1"/>
        <w:bidi w:val="0"/>
      </w:pPr>
      <w:bookmarkStart w:id="88" w:name="heading_45"/>
      <w:bookmarkStart w:id="89" w:name="_Toc23195"/>
      <w:r>
        <w:t>KPI 指标</w:t>
      </w:r>
      <w:bookmarkEnd w:id="88"/>
      <w:bookmarkEnd w:id="89"/>
    </w:p>
    <w:p>
      <w:pPr>
        <w:pStyle w:val="a1"/>
        <w:bidi w:val="0"/>
      </w:pPr>
      <w:r>
        <w:t>为量化信息安全管理工作成效，确保管理目标的实现，制定以下关键绩效指标（KPI），定期进行监测和评估：</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2168"/>
        <w:gridCol w:w="3420"/>
        <w:gridCol w:w="1270"/>
        <w:gridCol w:w="13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2168" w:type="dxa"/>
            <w:tcMar>
              <w:top w:w="60" w:type="dxa"/>
              <w:left w:w="120" w:type="dxa"/>
              <w:bottom w:w="30" w:type="dxa"/>
              <w:right w:w="120" w:type="dxa"/>
            </w:tcMar>
          </w:tcPr>
          <w:p>
            <w:pPr>
              <w:pStyle w:val="a1"/>
              <w:bidi w:val="0"/>
              <w:ind w:left="0" w:firstLine="0" w:leftChars="0" w:firstLineChars="0"/>
            </w:pPr>
            <w:r>
              <w:t>指标名称</w:t>
            </w:r>
          </w:p>
        </w:tc>
        <w:tc>
          <w:tcPr>
            <w:tcW w:w="3420" w:type="dxa"/>
            <w:tcMar>
              <w:top w:w="60" w:type="dxa"/>
              <w:left w:w="120" w:type="dxa"/>
              <w:bottom w:w="30" w:type="dxa"/>
              <w:right w:w="120" w:type="dxa"/>
            </w:tcMar>
          </w:tcPr>
          <w:p>
            <w:pPr>
              <w:pStyle w:val="a1"/>
              <w:bidi w:val="0"/>
              <w:ind w:left="0" w:firstLine="0" w:leftChars="0" w:firstLineChars="0"/>
            </w:pPr>
            <w:r>
              <w:t>指标定义</w:t>
            </w:r>
          </w:p>
        </w:tc>
        <w:tc>
          <w:tcPr>
            <w:tcW w:w="1270" w:type="dxa"/>
            <w:tcMar>
              <w:top w:w="60" w:type="dxa"/>
              <w:left w:w="120" w:type="dxa"/>
              <w:bottom w:w="30" w:type="dxa"/>
              <w:right w:w="120" w:type="dxa"/>
            </w:tcMar>
          </w:tcPr>
          <w:p>
            <w:pPr>
              <w:pStyle w:val="a1"/>
              <w:bidi w:val="0"/>
              <w:ind w:left="0" w:firstLine="0" w:leftChars="0" w:firstLineChars="0"/>
            </w:pPr>
            <w:r>
              <w:t>目标值</w:t>
            </w:r>
          </w:p>
        </w:tc>
        <w:tc>
          <w:tcPr>
            <w:tcW w:w="1360" w:type="dxa"/>
            <w:tcMar>
              <w:top w:w="60" w:type="dxa"/>
              <w:left w:w="120" w:type="dxa"/>
              <w:bottom w:w="30" w:type="dxa"/>
              <w:right w:w="120" w:type="dxa"/>
            </w:tcMar>
          </w:tcPr>
          <w:p>
            <w:pPr>
              <w:pStyle w:val="a1"/>
              <w:bidi w:val="0"/>
              <w:ind w:left="0" w:firstLine="0" w:leftChars="0" w:firstLineChars="0"/>
            </w:pPr>
            <w:r>
              <w:rPr>
                <w:rFonts w:hint="eastAsia"/>
                <w:lang w:val="en-US" w:eastAsia="zh-CN"/>
              </w:rPr>
              <w:t>统计</w:t>
            </w:r>
            <w:r>
              <w:t>周期</w:t>
            </w:r>
          </w:p>
        </w:tc>
      </w:tr>
      <w:tr>
        <w:tblPrEx>
          <w:tblW w:w="0" w:type="auto"/>
          <w:tblInd w:w="0" w:type="dxa"/>
          <w:tblLayout w:type="fixed"/>
          <w:tblCellMar>
            <w:top w:w="0" w:type="dxa"/>
            <w:left w:w="10" w:type="dxa"/>
            <w:bottom w:w="0" w:type="dxa"/>
            <w:right w:w="10" w:type="dxa"/>
          </w:tblCellMar>
        </w:tblPrEx>
        <w:tc>
          <w:tcPr>
            <w:tcW w:w="2168" w:type="dxa"/>
            <w:tcMar>
              <w:top w:w="60" w:type="dxa"/>
              <w:left w:w="120" w:type="dxa"/>
              <w:bottom w:w="30" w:type="dxa"/>
              <w:right w:w="120" w:type="dxa"/>
            </w:tcMar>
          </w:tcPr>
          <w:p>
            <w:pPr>
              <w:pStyle w:val="a1"/>
              <w:bidi w:val="0"/>
              <w:ind w:left="0" w:firstLine="0" w:leftChars="0" w:firstLineChars="0"/>
            </w:pPr>
            <w:r>
              <w:t>信息安全事件数量</w:t>
            </w:r>
          </w:p>
        </w:tc>
        <w:tc>
          <w:tcPr>
            <w:tcW w:w="3420" w:type="dxa"/>
            <w:tcMar>
              <w:top w:w="60" w:type="dxa"/>
              <w:left w:w="120" w:type="dxa"/>
              <w:bottom w:w="30" w:type="dxa"/>
              <w:right w:w="120" w:type="dxa"/>
            </w:tcMar>
          </w:tcPr>
          <w:p>
            <w:pPr>
              <w:pStyle w:val="a1"/>
              <w:bidi w:val="0"/>
              <w:ind w:left="0" w:firstLine="0" w:leftChars="0" w:firstLineChars="0"/>
            </w:pPr>
            <w:r>
              <w:t>全年信息安全事件发生数量</w:t>
            </w:r>
          </w:p>
        </w:tc>
        <w:tc>
          <w:tcPr>
            <w:tcW w:w="1270" w:type="dxa"/>
            <w:tcMar>
              <w:top w:w="60" w:type="dxa"/>
              <w:left w:w="120" w:type="dxa"/>
              <w:bottom w:w="30" w:type="dxa"/>
              <w:right w:w="120" w:type="dxa"/>
            </w:tcMar>
          </w:tcPr>
          <w:p>
            <w:pPr>
              <w:pStyle w:val="a1"/>
              <w:bidi w:val="0"/>
              <w:ind w:left="0" w:right="0" w:firstLine="0" w:leftChars="0" w:rightChars="0" w:firstLineChars="0"/>
              <w:jc w:val="both"/>
            </w:pPr>
            <w:r>
              <w:t>0 次</w:t>
            </w:r>
          </w:p>
        </w:tc>
        <w:tc>
          <w:tcPr>
            <w:tcW w:w="1360" w:type="dxa"/>
            <w:tcMar>
              <w:top w:w="60" w:type="dxa"/>
              <w:left w:w="120" w:type="dxa"/>
              <w:bottom w:w="30" w:type="dxa"/>
              <w:right w:w="120" w:type="dxa"/>
            </w:tcMar>
          </w:tcPr>
          <w:p>
            <w:pPr>
              <w:pStyle w:val="a1"/>
              <w:bidi w:val="0"/>
              <w:ind w:left="0" w:firstLine="0" w:leftChars="0" w:firstLineChars="0"/>
            </w:pPr>
            <w:r>
              <w:t>年度</w:t>
            </w:r>
          </w:p>
        </w:tc>
      </w:tr>
    </w:tbl>
    <w:p>
      <w:pPr>
        <w:pStyle w:val="a1"/>
        <w:bidi w:val="0"/>
      </w:pPr>
      <w:r>
        <w:t>KPI指标的监测结果需纳入月度及年度信息安全报告，针对未达标的指标，分析原因并制定改进措施，持续提升信息安全管理水平。</w:t>
      </w:r>
    </w:p>
    <w:p>
      <w:pPr>
        <w:pStyle w:val="1"/>
        <w:bidi w:val="0"/>
      </w:pPr>
      <w:bookmarkStart w:id="90" w:name="heading_46"/>
      <w:bookmarkStart w:id="91" w:name="_Toc3622"/>
      <w:r>
        <w:t>相关文件</w:t>
      </w:r>
      <w:bookmarkEnd w:id="90"/>
      <w:bookmarkEnd w:id="91"/>
    </w:p>
    <w:p>
      <w:pPr>
        <w:pStyle w:val="a1"/>
        <w:bidi w:val="0"/>
      </w:pPr>
      <w:r>
        <w:t>《服务级别协议》</w:t>
      </w:r>
    </w:p>
    <w:p>
      <w:pPr>
        <w:pStyle w:val="a1"/>
        <w:bidi w:val="0"/>
      </w:pPr>
      <w:r>
        <w:t>《配置管理规范》</w:t>
      </w:r>
    </w:p>
    <w:p>
      <w:pPr>
        <w:pStyle w:val="a1"/>
        <w:bidi w:val="0"/>
      </w:pPr>
      <w:r>
        <w:t>《变更管理流程》</w:t>
      </w:r>
    </w:p>
    <w:p>
      <w:pPr>
        <w:pStyle w:val="a1"/>
        <w:bidi w:val="0"/>
      </w:pPr>
      <w:r>
        <w:t>《信息安全事件应急响应预案》</w:t>
      </w:r>
    </w:p>
    <w:p>
      <w:pPr>
        <w:pStyle w:val="a1"/>
        <w:bidi w:val="0"/>
      </w:pPr>
      <w:r>
        <w:t>《机房管理规定》</w:t>
      </w:r>
    </w:p>
    <w:p>
      <w:pPr>
        <w:pStyle w:val="a1"/>
        <w:bidi w:val="0"/>
      </w:pPr>
      <w:r>
        <w:t>《数据备份与恢复管理规范》</w:t>
      </w:r>
    </w:p>
    <w:p>
      <w:pPr>
        <w:pStyle w:val="a1"/>
        <w:bidi w:val="0"/>
      </w:pPr>
      <w:r>
        <w:t>《员工信息安全行为准则》</w:t>
      </w:r>
    </w:p>
    <w:p>
      <w:pPr>
        <w:pStyle w:val="1"/>
        <w:bidi w:val="0"/>
      </w:pPr>
      <w:bookmarkStart w:id="92" w:name="heading_47"/>
      <w:bookmarkStart w:id="93" w:name="_Toc31979"/>
      <w:r>
        <w:t>相关记录</w:t>
      </w:r>
      <w:bookmarkEnd w:id="92"/>
      <w:bookmarkEnd w:id="93"/>
    </w:p>
    <w:p>
      <w:pPr>
        <w:pStyle w:val="a1"/>
        <w:bidi w:val="0"/>
      </w:pPr>
      <w:r>
        <w:t>《文件编制和变更履历表》</w:t>
      </w:r>
    </w:p>
    <w:p>
      <w:pPr>
        <w:pStyle w:val="a1"/>
        <w:bidi w:val="0"/>
      </w:pPr>
      <w:r>
        <w:t>《信息安全风险评估报告》</w:t>
      </w:r>
    </w:p>
    <w:p>
      <w:pPr>
        <w:pStyle w:val="a1"/>
        <w:bidi w:val="0"/>
      </w:pPr>
      <w:r>
        <w:t>《资产识别与赋值表》</w:t>
      </w:r>
    </w:p>
    <w:p>
      <w:pPr>
        <w:pStyle w:val="a1"/>
        <w:bidi w:val="0"/>
      </w:pPr>
      <w:r>
        <w:t>《威胁评估记录表》</w:t>
      </w:r>
    </w:p>
    <w:p>
      <w:pPr>
        <w:pStyle w:val="a1"/>
        <w:bidi w:val="0"/>
      </w:pPr>
      <w:r>
        <w:t>《脆弱性评估记录表》</w:t>
      </w:r>
    </w:p>
    <w:p>
      <w:pPr>
        <w:pStyle w:val="a1"/>
        <w:bidi w:val="0"/>
      </w:pPr>
      <w:r>
        <w:t>《安全规范实施记录表》</w:t>
      </w:r>
    </w:p>
    <w:p>
      <w:pPr>
        <w:pStyle w:val="a1"/>
        <w:bidi w:val="0"/>
      </w:pPr>
      <w:r>
        <w:t>《安全状况监控报告》</w:t>
      </w:r>
    </w:p>
    <w:p>
      <w:pPr>
        <w:pStyle w:val="a1"/>
        <w:bidi w:val="0"/>
      </w:pPr>
      <w:r>
        <w:t>《风险处置计划》</w:t>
      </w:r>
    </w:p>
    <w:p>
      <w:pPr>
        <w:pStyle w:val="a1"/>
        <w:bidi w:val="0"/>
      </w:pPr>
      <w:r>
        <w:t>《剩余风险评估报告》</w:t>
      </w:r>
    </w:p>
    <w:p>
      <w:pPr>
        <w:pStyle w:val="a1"/>
        <w:bidi w:val="0"/>
      </w:pPr>
      <w:r>
        <w:t>《信息安全事件报告》</w:t>
      </w:r>
    </w:p>
    <w:p>
      <w:pPr>
        <w:pStyle w:val="a1"/>
        <w:bidi w:val="0"/>
      </w:pPr>
      <w:r>
        <w:t>《信息安全事件调查报告》</w:t>
      </w:r>
    </w:p>
    <w:p>
      <w:pPr>
        <w:pStyle w:val="a1"/>
        <w:bidi w:val="0"/>
      </w:pPr>
      <w:r>
        <w:t>《员工安全培训记录表》</w:t>
      </w:r>
    </w:p>
    <w:p>
      <w:pPr>
        <w:pStyle w:val="a1"/>
        <w:bidi w:val="0"/>
      </w:pPr>
      <w:r>
        <w:t>《数据备份验证记录表》</w:t>
      </w:r>
    </w:p>
    <w:p>
      <w:pPr>
        <w:pStyle w:val="a1"/>
        <w:bidi w:val="0"/>
      </w:pPr>
      <w:r>
        <w:t>《KPI指标监测统计表》</w:t>
      </w:r>
    </w:p>
    <w:p>
      <w:pPr>
        <w:pStyle w:val="a1"/>
        <w:bidi w:val="0"/>
      </w:pPr>
    </w:p>
    <w:sectPr>
      <w:headerReference w:type="default" r:id="rId4"/>
      <w:footerReference w:type="default" r:id="rId5"/>
      <w:pgSz w:w="11905" w:h="16840"/>
      <w:pgMar w:header="720" w:footer="72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characterSpacingControl w:val="doNotCompress"/>
  <w:compat>
    <w:useFELayout/>
    <w:splitPgBreakAndParaMark/>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qFormat="1"/>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qFormat="1"/>
    <w:lsdException w:name="line number" w:semiHidden="0" w:uiPriority="0" w:unhideWhenUsed="0"/>
    <w:lsdException w:name="page number" w:semiHidden="0" w:uiPriority="0" w:unhideWhenUsed="0" w:qFormat="1"/>
    <w:lsdException w:name="endnote reference" w:semiHidden="0" w:uiPriority="0" w:unhideWhenUsed="0" w:qFormat="1"/>
    <w:lsdException w:name="endnote text" w:semiHidden="0" w:uiPriority="0" w:unhideWhenUsed="0" w:qFormat="1"/>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qFormat="1"/>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qFormat="1"/>
    <w:lsdException w:name="Date" w:semiHidden="0" w:uiPriority="0" w:unhideWhenUsed="0" w:qFormat="1"/>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qFormat="1"/>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Salutation">
    <w:name w:val="Salutation"/>
    <w:basedOn w:val="Normal"/>
    <w:next w:val="Normal"/>
    <w:qFormat/>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Date">
    <w:name w:val="Date"/>
    <w:basedOn w:val="Normal"/>
    <w:next w:val="Normal"/>
    <w:qFormat/>
    <w:pPr>
      <w:ind w:left="100" w:leftChars="2500"/>
    </w:pPr>
  </w:style>
  <w:style w:type="paragraph" w:styleId="EndnoteText">
    <w:name w:val="endnote text"/>
    <w:basedOn w:val="Normal"/>
    <w:qFormat/>
    <w:pPr>
      <w:snapToGrid w:val="0"/>
      <w:jc w:val="left"/>
    </w:pPr>
  </w:style>
  <w:style w:type="paragraph" w:styleId="BalloonText">
    <w:name w:val="Balloon Text"/>
    <w:basedOn w:val="Normal"/>
    <w:qFormat/>
    <w:rPr>
      <w:sz w:val="18"/>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Signature">
    <w:name w:val="Signature"/>
    <w:basedOn w:val="Normal"/>
    <w:qFormat/>
    <w:pPr>
      <w:ind w:left="100" w:leftChars="2100"/>
    </w:pPr>
  </w:style>
  <w:style w:type="paragraph" w:styleId="TOC1">
    <w:name w:val="toc 1"/>
    <w:basedOn w:val="Normal"/>
    <w:next w:val="Normal"/>
    <w:qFormat/>
    <w:rPr>
      <w:rFonts w:ascii="Arial" w:eastAsia="Microsoft JhengHei" w:hAnsi="Arial"/>
      <w:sz w:val="24"/>
    </w:rPr>
  </w:style>
  <w:style w:type="paragraph" w:styleId="Subtitle">
    <w:name w:val="Subtitle"/>
    <w:basedOn w:val="Normal"/>
    <w:qFormat/>
    <w:pPr>
      <w:spacing w:before="240" w:beforeLines="0" w:beforeAutospacing="0" w:after="60" w:afterLines="0" w:afterAutospacing="0" w:line="312" w:lineRule="auto"/>
      <w:jc w:val="center"/>
      <w:outlineLvl w:val="1"/>
    </w:pPr>
    <w:rPr>
      <w:rFonts w:ascii="Arial" w:hAnsi="Arial"/>
      <w:b/>
      <w:kern w:val="28"/>
      <w:sz w:val="32"/>
    </w:rPr>
  </w:style>
  <w:style w:type="paragraph" w:styleId="FootnoteText">
    <w:name w:val="footnote text"/>
    <w:basedOn w:val="Normal"/>
    <w:qFormat/>
    <w:pPr>
      <w:snapToGrid w:val="0"/>
      <w:jc w:val="left"/>
    </w:pPr>
    <w:rPr>
      <w:sz w:val="18"/>
    </w:r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paragraph" w:styleId="CommentSubject">
    <w:name w:val="annotation subject"/>
    <w:basedOn w:val="CommentText"/>
    <w:next w:val="CommentText"/>
    <w:qFormat/>
    <w:rPr>
      <w:b/>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ndnoteReference">
    <w:name w:val="endnote reference"/>
    <w:basedOn w:val="DefaultParagraphFont"/>
    <w:qFormat/>
    <w:rPr>
      <w:vertAlign w:val="superscript"/>
    </w:rPr>
  </w:style>
  <w:style w:type="character" w:styleId="PageNumber">
    <w:name w:val="page number"/>
    <w:basedOn w:val="DefaultParagraphFont"/>
    <w:qFormat/>
  </w:style>
  <w:style w:type="character" w:styleId="FollowedHyperlink">
    <w:name w:val="FollowedHyperlink"/>
    <w:basedOn w:val="DefaultParagraphFont"/>
    <w:qFormat/>
    <w:rPr>
      <w:color w:val="800080"/>
      <w:u w:val="single"/>
    </w:rPr>
  </w:style>
  <w:style w:type="character" w:styleId="Emphasis">
    <w:name w:val="Emphasis"/>
    <w:basedOn w:val="DefaultParagraphFont"/>
    <w:qFormat/>
    <w:rPr>
      <w:i/>
    </w:rPr>
  </w:style>
  <w:style w:type="character" w:styleId="Hyperlink">
    <w:name w:val="Hyperlink"/>
    <w:basedOn w:val="DefaultParagraphFont"/>
    <w:qFormat/>
    <w:rPr>
      <w:color w:val="0000FF"/>
      <w:u w:val="single"/>
    </w:rPr>
  </w:style>
  <w:style w:type="character" w:styleId="CommentReference">
    <w:name w:val="annotation reference"/>
    <w:basedOn w:val="DefaultParagraphFont"/>
    <w:qFormat/>
    <w:rPr>
      <w:sz w:val="21"/>
    </w:rPr>
  </w:style>
  <w:style w:type="character" w:styleId="FootnoteReference">
    <w:name w:val="footnote reference"/>
    <w:basedOn w:val="DefaultParagraphFont"/>
    <w:rPr>
      <w:vertAlign w:val="superscript"/>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Pages>24</Pages>
  <Words>12320</Words>
  <Characters>12576</Characters>
  <Application>Microsoft Office Word</Application>
  <DocSecurity>0</DocSecurity>
  <Lines>0</Lines>
  <Paragraphs>0</Paragraphs>
  <ScaleCrop>false</ScaleCrop>
  <Company/>
  <LinksUpToDate>false</LinksUpToDate>
  <CharactersWithSpaces>12640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郝宇</cp:lastModifiedBy>
  <cp:revision>0</cp:revision>
  <dcterms:created xsi:type="dcterms:W3CDTF">2025-12-05T09:33:00Z</dcterms:created>
  <dcterms:modified xsi:type="dcterms:W3CDTF">2025-12-13T23:04:00Z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84C208AEEF3F4E439854875A53C358DD_12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